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 xml:space="preserve">                                                         KRAPINSKO- ZAGORSKA ŽUPANIJA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 OROSLAVJE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GRADSKO VIJEĆE</w:t>
      </w: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  <w:jc w:val="center"/>
      </w:pPr>
    </w:p>
    <w:p>
      <w:pPr>
        <w:pStyle w:val="Bezproreda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BILJEŠKE UZ </w:t>
      </w:r>
    </w:p>
    <w:p>
      <w:pPr>
        <w:pStyle w:val="Bezproreda"/>
        <w:jc w:val="center"/>
      </w:pP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PRORAČUN</w:t>
      </w: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GRADA OROSLAVJA ZA 2023. GODINU</w:t>
      </w: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S projekcijama za 2024. i 2025.</w:t>
      </w:r>
    </w:p>
    <w:p>
      <w:pPr>
        <w:pStyle w:val="Bezproreda"/>
        <w:jc w:val="center"/>
        <w:rPr>
          <w:sz w:val="24"/>
          <w:szCs w:val="24"/>
        </w:rPr>
      </w:pPr>
    </w:p>
    <w:p>
      <w:pPr>
        <w:pStyle w:val="Bezproreda"/>
        <w:jc w:val="center"/>
        <w:rPr>
          <w:sz w:val="24"/>
          <w:szCs w:val="24"/>
        </w:rPr>
      </w:pPr>
    </w:p>
    <w:p>
      <w:pPr>
        <w:pStyle w:val="Bezproreda"/>
        <w:jc w:val="center"/>
        <w:rPr>
          <w:sz w:val="24"/>
          <w:szCs w:val="24"/>
        </w:rPr>
      </w:pPr>
    </w:p>
    <w:p>
      <w:pPr>
        <w:pStyle w:val="Bezproreda"/>
        <w:rPr>
          <w:sz w:val="24"/>
          <w:szCs w:val="24"/>
        </w:rPr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  <w:r>
        <w:t>Oroslavje, studeni 2022. godine</w:t>
      </w:r>
    </w:p>
    <w:p>
      <w:pPr>
        <w:pStyle w:val="Bezproreda"/>
        <w:jc w:val="both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  <w:r>
        <w:t xml:space="preserve">                                                                                           </w:t>
      </w:r>
    </w:p>
    <w:p>
      <w:pPr>
        <w:pStyle w:val="Bezproreda"/>
      </w:pPr>
      <w:r>
        <w:t xml:space="preserve">                                                                                          Materijale pripremio:</w:t>
      </w:r>
    </w:p>
    <w:p>
      <w:pPr>
        <w:pStyle w:val="Bezproreda"/>
      </w:pPr>
      <w:r>
        <w:t xml:space="preserve">                                                                                         Jedinstveni upravni odjel Grada Oroslavja</w:t>
      </w:r>
    </w:p>
    <w:p>
      <w:pPr>
        <w:pStyle w:val="Bezproreda"/>
      </w:pP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OBRAZLOŽENJE UZ PRIJEDLOG PRORAČUNA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GRADA OROSLAVJA ZA 2023. GODINU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UVOD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</w:p>
    <w:p>
      <w:pPr>
        <w:pStyle w:val="Bezproreda"/>
        <w:rPr>
          <w:rStyle w:val="Naglaeno"/>
          <w:rFonts w:asciiTheme="minorHAnsi" w:hAnsiTheme="minorHAnsi" w:cstheme="minorHAnsi"/>
          <w:sz w:val="20"/>
          <w:szCs w:val="20"/>
        </w:rPr>
      </w:pPr>
      <w:r>
        <w:rPr>
          <w:rStyle w:val="Naglaeno"/>
          <w:rFonts w:asciiTheme="minorHAnsi" w:hAnsiTheme="minorHAnsi" w:cstheme="minorHAnsi"/>
          <w:sz w:val="20"/>
          <w:szCs w:val="20"/>
        </w:rPr>
        <w:t>Uvodne napomene</w:t>
      </w:r>
    </w:p>
    <w:p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odredbama novoga Zakona o proračunu (Narodne novine, br. 144/21), koji je na snazi od 1. siječnja 2022 Značajna novost u odnosnu na stari Zakon o proračunu i dosadašnju praksu je razina ekonomske klasifikacije na kojoj se predlaže i usvaja plan za proračunsku godinu i projekcije za sljedeće dvije godine. Sukladno člancima 38., 39. i 42. novog Zakona o proračunu, proračun jedinice lokalne i područne (regionalne) samouprave, financijski plan proračunskog korisnika te financijski plan izvanproračunskog korisnika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usvaja se na razini skupine ekonomske klasifikacije. </w:t>
      </w:r>
      <w:r>
        <w:rPr>
          <w:rFonts w:asciiTheme="minorHAnsi" w:hAnsiTheme="minorHAnsi" w:cstheme="minorHAnsi"/>
          <w:sz w:val="20"/>
          <w:szCs w:val="20"/>
        </w:rPr>
        <w:t xml:space="preserve">Slijedom navedenog, jedinice lokalne i područne (regionalne) samouprave, proračunski i izvanproračunski korisnici prihode i primitke, rashode i izdatke za 2023. godinu iskazuju na razini skupine (druga razina računskog plana) isto kao za 2024. i 2025. godinu. Navedeno je novost u ovom proračunskom ciklusu i razlika od prethodnih godina, kada se plan za proračunsku godinu iskazivao na razini podskupine ekonomske klasifikacije, a projekcije na razini skupine ekonomske klasifikacije. </w:t>
      </w:r>
    </w:p>
    <w:p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Novim Pravilnikom o proračunskom računovodstvu i Računskom planu (</w:t>
      </w:r>
      <w:r>
        <w:rPr>
          <w:rFonts w:asciiTheme="minorHAnsi" w:hAnsiTheme="minorHAnsi" w:cstheme="minorHAnsi"/>
          <w:bCs/>
          <w:sz w:val="20"/>
          <w:szCs w:val="20"/>
        </w:rPr>
        <w:t>NN 124/14 ,115/</w:t>
      </w:r>
      <w:r>
        <w:rPr>
          <w:rFonts w:asciiTheme="minorHAnsi" w:hAnsiTheme="minorHAnsi" w:cstheme="minorHAnsi"/>
          <w:sz w:val="20"/>
          <w:szCs w:val="20"/>
        </w:rPr>
        <w:t>15, 87/16, 3/18 i 126/19 i 108/20</w:t>
      </w:r>
      <w:r>
        <w:rPr>
          <w:rFonts w:asciiTheme="minorHAnsi" w:hAnsiTheme="minorHAnsi" w:cstheme="minorHAnsi"/>
          <w:b/>
          <w:sz w:val="20"/>
          <w:szCs w:val="20"/>
        </w:rPr>
        <w:t>) došlo je do značajne metodološke promjene u izradi proračuna tako da su Jedinice lokalne samouprave obavezne uključiti vlastite i namjenske prihode i primitke svih proračunskih korisnika u proračun JLS, bez obzira imaju li sustav riznice ili ne.</w:t>
      </w:r>
    </w:p>
    <w:p>
      <w:pPr>
        <w:pStyle w:val="Bezproreda"/>
        <w:ind w:firstLine="284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Proračun Grada Oroslavja izrađen je po metodologiji propisanoj Zakonom o proračunu. </w:t>
      </w:r>
    </w:p>
    <w:p>
      <w:pPr>
        <w:pStyle w:val="Bezproreda"/>
        <w:ind w:firstLine="284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Temeljem Zakona o proračunu sadržaj proračuna je sljedeći:</w:t>
      </w:r>
    </w:p>
    <w:p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Opći dio proračuna 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Sažetak Računa prihoda i rashoda, Sažetak Računa financiranja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Račun prihoda i rashoda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Račun financiranja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Preneseni višak ili preneseni manjak prihoda nad rashodima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Višegodišnji plan uravnoteženja</w:t>
      </w:r>
    </w:p>
    <w:p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Posebni dio proračuna 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Plan rashoda i izdataka proračuna JLP(R)S i njihovih proračunskih korisnika</w:t>
      </w:r>
    </w:p>
    <w:p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Obrazloženje proračuna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Obrazloženje općeg dijela proračuna i obrazloženje posebnog dijela proračuna</w:t>
      </w:r>
    </w:p>
    <w:p>
      <w:pPr>
        <w:pStyle w:val="Bezproreda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>
      <w:pPr>
        <w:pStyle w:val="Bezproreda"/>
        <w:rPr>
          <w:sz w:val="26"/>
          <w:szCs w:val="26"/>
          <w:highlight w:val="lightGray"/>
          <w:u w:val="single"/>
        </w:rPr>
      </w:pPr>
    </w:p>
    <w:p>
      <w:pPr>
        <w:pStyle w:val="Bezproreda"/>
        <w:ind w:left="644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highlight w:val="lightGray"/>
          <w:u w:val="single"/>
        </w:rPr>
        <w:t>OPĆI DIO</w:t>
      </w:r>
    </w:p>
    <w:p>
      <w:pPr>
        <w:pStyle w:val="Bezproreda"/>
        <w:ind w:left="644"/>
        <w:rPr>
          <w:rFonts w:ascii="Arial" w:hAnsi="Arial" w:cs="Arial"/>
          <w:b/>
          <w:sz w:val="24"/>
          <w:szCs w:val="24"/>
          <w:u w:val="single"/>
        </w:rPr>
      </w:pPr>
    </w:p>
    <w:p>
      <w:pPr>
        <w:pStyle w:val="Bezproreda"/>
        <w:rPr>
          <w:rStyle w:val="Naglaeno"/>
          <w:rFonts w:asciiTheme="minorHAnsi" w:hAnsiTheme="minorHAnsi" w:cstheme="minorHAnsi"/>
          <w:sz w:val="20"/>
          <w:szCs w:val="20"/>
        </w:rPr>
      </w:pPr>
      <w:r>
        <w:rPr>
          <w:rStyle w:val="Naglaeno"/>
          <w:rFonts w:asciiTheme="minorHAnsi" w:hAnsiTheme="minorHAnsi" w:cstheme="minorHAnsi"/>
          <w:sz w:val="20"/>
          <w:szCs w:val="20"/>
        </w:rPr>
        <w:t xml:space="preserve">OBRAZLOŽENJE: </w:t>
      </w:r>
    </w:p>
    <w:p>
      <w:pPr>
        <w:pStyle w:val="Bezproreda"/>
        <w:numPr>
          <w:ilvl w:val="0"/>
          <w:numId w:val="15"/>
        </w:numPr>
        <w:rPr>
          <w:rStyle w:val="Naglaeno"/>
          <w:rFonts w:asciiTheme="minorHAnsi" w:hAnsiTheme="minorHAnsi" w:cstheme="minorHAnsi"/>
          <w:sz w:val="20"/>
          <w:szCs w:val="20"/>
        </w:rPr>
      </w:pPr>
      <w:r>
        <w:rPr>
          <w:rStyle w:val="Naglaeno"/>
          <w:rFonts w:asciiTheme="minorHAnsi" w:hAnsiTheme="minorHAnsi" w:cstheme="minorHAnsi"/>
          <w:sz w:val="20"/>
          <w:szCs w:val="20"/>
        </w:rPr>
        <w:t xml:space="preserve"> RAČUN PRIHODA I RASHODA</w:t>
      </w:r>
    </w:p>
    <w:p>
      <w:pPr>
        <w:pStyle w:val="Bezproreda"/>
        <w:ind w:left="720"/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  <w:t xml:space="preserve">     A1-   Prihodi i primici</w:t>
      </w:r>
    </w:p>
    <w:p>
      <w:pPr>
        <w:pStyle w:val="Bezproreda"/>
        <w:ind w:left="720"/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  <w:t xml:space="preserve">     A2-   Rashodi i izdaci</w:t>
      </w:r>
    </w:p>
    <w:p>
      <w:pPr>
        <w:pStyle w:val="Bezproreda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RAČUN ZADUŽIVANJA / FINANCIRANJA</w:t>
      </w:r>
    </w:p>
    <w:p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C)    RASPOLOŽIVA SREDSTVA IZ PRETHODNIH GODINA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Proračun Grada Oroslavja za 2023. godinu planiran je u ukupnom iznosu od 5.753.800,00 eura. Prihodi se odnose na tekuće Prihode i primitke te na preneseni Višak prihoda iz 2022. godine.</w:t>
      </w:r>
    </w:p>
    <w:p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57"/>
        <w:tblW w:w="10063" w:type="dxa"/>
        <w:tblLook w:val="04A0" w:firstRow="1" w:lastRow="0" w:firstColumn="1" w:lastColumn="0" w:noHBand="0" w:noVBand="1"/>
      </w:tblPr>
      <w:tblGrid>
        <w:gridCol w:w="753"/>
        <w:gridCol w:w="6182"/>
        <w:gridCol w:w="1180"/>
        <w:gridCol w:w="1180"/>
        <w:gridCol w:w="768"/>
      </w:tblGrid>
      <w:tr>
        <w:trPr>
          <w:trHeight w:val="401"/>
        </w:trPr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bookmarkStart w:id="0" w:name="_Hlk119309326"/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>
        <w:trPr>
          <w:trHeight w:val="215"/>
        </w:trPr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</w:tr>
      <w:tr>
        <w:trPr>
          <w:trHeight w:val="215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5.073.419,23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5.343.040,00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105,31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2.081.183,89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2.855.540,00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137,21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2.353.521,15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1.702.320,00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72,33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66.363,93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73.600,00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110,90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559.675,23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702.410,00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125,50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48,22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9.356,96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7.570,00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80,90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6.503,42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163,14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6.503,42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163,14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2.026.682,17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2.594.540,00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128,02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628.507,78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791.090,00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125,87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696.131,54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846.050,00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121,54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34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31.170,21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37.790,00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121,24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32.517,08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34.770,00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106,93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87.821,36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134.070,00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152,66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287.477,60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443.160,00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154,15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263.056,60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307.610,00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116,94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3.105.136,40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2.750.500,00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88,58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26.544,57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99,98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1.741.313,03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2.273.780,00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130,58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1.337.278,80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450.180,00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33,66</w:t>
            </w:r>
          </w:p>
        </w:tc>
      </w:tr>
      <w:tr>
        <w:trPr>
          <w:trHeight w:val="215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152.890,00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152.890,00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510.317,87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408.760,00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80,10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510.317,87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408.760,00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80,10</w:t>
            </w:r>
          </w:p>
        </w:tc>
      </w:tr>
      <w:tr>
        <w:trPr>
          <w:trHeight w:val="215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562.213,82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247.260,00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43,98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562.213,82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247.260,00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43,98</w:t>
            </w:r>
          </w:p>
        </w:tc>
      </w:tr>
      <w:bookmarkEnd w:id="0"/>
    </w:tbl>
    <w:p>
      <w:pPr>
        <w:pStyle w:val="Bezproreda"/>
        <w:rPr>
          <w:color w:val="FFFFFF"/>
          <w:highlight w:val="darkBlue"/>
        </w:rPr>
      </w:pPr>
    </w:p>
    <w:p>
      <w:pPr>
        <w:pStyle w:val="Bezproreda"/>
        <w:rPr>
          <w:color w:val="FFFFFF"/>
          <w:highlight w:val="darkBlue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5665"/>
        <w:gridCol w:w="871"/>
        <w:gridCol w:w="1180"/>
        <w:gridCol w:w="663"/>
        <w:gridCol w:w="584"/>
      </w:tblGrid>
      <w:tr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A1.   PRIHODI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>
      <w:pPr>
        <w:pStyle w:val="Bezproreda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  <w:highlight w:val="darkBlue"/>
        </w:rPr>
        <w:t>6 Prihodi poslovanja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čine daleko najveći dio ukupnih prihoda planirani su u iznosu 5.343.040,00 EUR – povećanja za 5,31% u odnosu na plan proračuna za 2022. (dalje u tekstu: 2022. godina)</w:t>
      </w:r>
    </w:p>
    <w:p>
      <w:pPr>
        <w:pStyle w:val="Bezproreda"/>
        <w:rPr>
          <w:b/>
          <w:i/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Konto 61 – Prihodi od poreza</w:t>
      </w:r>
      <w:r>
        <w:rPr>
          <w:sz w:val="20"/>
          <w:szCs w:val="20"/>
        </w:rPr>
        <w:t xml:space="preserve">   – najznačajnija stavka koja uključuje prihode od poreza i prireza na dohodak, prihode od poreza na imovinu (porez na nekretnine i porez na kuće za odmor) i prihode od poreza na robu i usluge (porez na potrošnju); planirani su u iznosu od  2.855.540,00 EUR, povećanje od 37,21% u odnosu na 2022. godinu. </w:t>
      </w:r>
    </w:p>
    <w:p>
      <w:pPr>
        <w:pStyle w:val="Bezproreda"/>
        <w:rPr>
          <w:b/>
          <w:bCs/>
          <w:sz w:val="20"/>
          <w:szCs w:val="20"/>
          <w:u w:val="single"/>
        </w:rPr>
      </w:pPr>
    </w:p>
    <w:p>
      <w:pPr>
        <w:pStyle w:val="Bezproreda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Pomoći</w:t>
      </w: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Konto 63 – Pomoći iz proračuna</w:t>
      </w:r>
      <w:r>
        <w:rPr>
          <w:sz w:val="20"/>
          <w:szCs w:val="20"/>
        </w:rPr>
        <w:t xml:space="preserve"> – planirani su u iznosu od  1.702.320,00 EUR, smanjenje za 27,67 % u odnosu na 2022., a odnose se na planirane:</w:t>
      </w:r>
    </w:p>
    <w:tbl>
      <w:tblPr>
        <w:tblW w:w="5298" w:type="dxa"/>
        <w:tblLook w:val="04A0" w:firstRow="1" w:lastRow="0" w:firstColumn="1" w:lastColumn="0" w:noHBand="0" w:noVBand="1"/>
      </w:tblPr>
      <w:tblGrid>
        <w:gridCol w:w="2809"/>
        <w:gridCol w:w="1439"/>
        <w:gridCol w:w="1050"/>
      </w:tblGrid>
      <w:tr>
        <w:trPr>
          <w:trHeight w:val="30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PLAN 2023.                  u EUR</w:t>
            </w:r>
          </w:p>
        </w:tc>
      </w:tr>
      <w:tr>
        <w:trPr>
          <w:trHeight w:val="237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A) 633 Pomoći iz drugih proračuna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ŽP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nabava knjiga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11.950,00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11.950,00</w:t>
            </w:r>
          </w:p>
        </w:tc>
      </w:tr>
      <w:tr>
        <w:trPr>
          <w:trHeight w:val="226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B) 634 Kapitalne pomoći -izvanproračunski korisnik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ŽUC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izgradnja nogostupa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132.720,00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Hrvatske vode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izmjera objekata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13.270,00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Fond za zaštitu okoliša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digitalizacija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8.900,00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Fond za zaštitu okoliša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oprema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31.720,00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186.610,00</w:t>
            </w:r>
          </w:p>
        </w:tc>
      </w:tr>
      <w:tr>
        <w:trPr>
          <w:trHeight w:val="327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C) 636  Pomoći proračunskim korisnicima iz proračuna koji im nije nadležan</w:t>
            </w:r>
          </w:p>
        </w:tc>
      </w:tr>
      <w:tr>
        <w:trPr>
          <w:trHeight w:val="282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Pomoći doznačene na RN proračunskih korisnika</w:t>
            </w:r>
          </w:p>
        </w:tc>
      </w:tr>
      <w:tr>
        <w:trPr>
          <w:trHeight w:val="237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Dječji vrtić Oroslavje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930,00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Gradska knjižnica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7.300,00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8.230,00</w:t>
            </w:r>
          </w:p>
        </w:tc>
      </w:tr>
      <w:tr>
        <w:trPr>
          <w:trHeight w:val="226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D) 638  Kapitalne pomoći - EU SREDSTVA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DJEČJI VRTIĆ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299.300,00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BICIKLISTIČKU STAZU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62.380,00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DJEČJA IGRALIŠTA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35.170,00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SOCIJALNI FOND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190.860,00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PODRUČNI VRTIĆ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907.820,00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UKUPNO 638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1.495.530,00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UKUPNO 63: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1.702.320,00</w:t>
            </w:r>
          </w:p>
        </w:tc>
      </w:tr>
    </w:tbl>
    <w:p>
      <w:pPr>
        <w:pStyle w:val="Bezproreda"/>
        <w:rPr>
          <w:b/>
          <w:iCs/>
        </w:rPr>
      </w:pPr>
    </w:p>
    <w:p>
      <w:pPr>
        <w:pStyle w:val="Bezproreda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Konto 64</w:t>
      </w:r>
      <w:r>
        <w:rPr>
          <w:b/>
          <w:i/>
          <w:sz w:val="20"/>
          <w:szCs w:val="20"/>
          <w:u w:val="single"/>
        </w:rPr>
        <w:t xml:space="preserve"> – </w:t>
      </w:r>
      <w:r>
        <w:rPr>
          <w:b/>
          <w:iCs/>
          <w:sz w:val="20"/>
          <w:szCs w:val="20"/>
          <w:u w:val="single"/>
        </w:rPr>
        <w:t>Prihodi od imovine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planirani su u iznosu 73.600,00 EUR, povećanje od 10,90 % u odnosu na 2022.godinu; uključuju prihode od financijske imovine (kamate) i prihode od nefinancijske imovine (</w:t>
      </w:r>
      <w:r>
        <w:rPr>
          <w:sz w:val="20"/>
          <w:szCs w:val="20"/>
        </w:rPr>
        <w:t>prihodi od koncesije za dimnjačarske usluge i koncesiju za odvoz smeća, prihod od iznajmljivanja stambenih objekata i zakupa poslovnih objekata, prihode od spomeničke rente te naknade za nezakonito izgrađene građevine)</w:t>
      </w:r>
    </w:p>
    <w:p>
      <w:pPr>
        <w:pStyle w:val="Bezproreda"/>
        <w:rPr>
          <w:bCs/>
          <w:i/>
          <w:sz w:val="20"/>
          <w:szCs w:val="20"/>
        </w:rPr>
      </w:pPr>
    </w:p>
    <w:p>
      <w:pPr>
        <w:pStyle w:val="Bezproreda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lastRenderedPageBreak/>
        <w:t>Konto 65 – Prihodi od upravnih i administrativnih pristojbi, pristojbi po posebnim propisima i naknadama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 xml:space="preserve">planirani su u iznosu od 702.410,00 EUR, povećanje od 25,50% u odnosu na 2022.godinu. Uključuju: </w:t>
      </w:r>
      <w:r>
        <w:rPr>
          <w:bCs/>
          <w:iCs/>
          <w:sz w:val="20"/>
          <w:szCs w:val="20"/>
        </w:rPr>
        <w:br/>
        <w:t xml:space="preserve">- </w:t>
      </w:r>
      <w:r>
        <w:rPr>
          <w:bCs/>
          <w:i/>
          <w:sz w:val="20"/>
          <w:szCs w:val="20"/>
        </w:rPr>
        <w:t>prihode od administrativnih (upravnih) pristojbi</w:t>
      </w:r>
      <w:r>
        <w:rPr>
          <w:bCs/>
          <w:iCs/>
          <w:sz w:val="20"/>
          <w:szCs w:val="20"/>
        </w:rPr>
        <w:t xml:space="preserve"> – </w:t>
      </w:r>
      <w:r>
        <w:rPr>
          <w:sz w:val="20"/>
          <w:szCs w:val="20"/>
        </w:rPr>
        <w:t>čine ih prihodi od korištenja javnih gradskih površina i prihodi od prodaje državnih biljega</w:t>
      </w:r>
      <w:r>
        <w:rPr>
          <w:bCs/>
          <w:iCs/>
          <w:sz w:val="20"/>
          <w:szCs w:val="20"/>
        </w:rPr>
        <w:br/>
        <w:t xml:space="preserve">- </w:t>
      </w:r>
      <w:r>
        <w:rPr>
          <w:bCs/>
          <w:i/>
          <w:sz w:val="20"/>
          <w:szCs w:val="20"/>
        </w:rPr>
        <w:t>prihode po posebnim propisima</w:t>
      </w:r>
      <w:r>
        <w:rPr>
          <w:bCs/>
          <w:iCs/>
          <w:sz w:val="20"/>
          <w:szCs w:val="20"/>
        </w:rPr>
        <w:t xml:space="preserve"> – čine ih </w:t>
      </w:r>
      <w:r>
        <w:rPr>
          <w:sz w:val="20"/>
          <w:szCs w:val="20"/>
        </w:rPr>
        <w:t>prihodi od vodnog doprinosa, prihodi proračunskih korisnika za sufinanciranje participacije</w:t>
      </w:r>
      <w:r>
        <w:rPr>
          <w:bCs/>
          <w:iCs/>
          <w:sz w:val="20"/>
          <w:szCs w:val="20"/>
        </w:rPr>
        <w:t>, naknada za korištenje odlagališta otpada</w:t>
      </w:r>
      <w:r>
        <w:rPr>
          <w:bCs/>
          <w:iCs/>
          <w:sz w:val="20"/>
          <w:szCs w:val="20"/>
        </w:rPr>
        <w:br/>
        <w:t xml:space="preserve">- </w:t>
      </w:r>
      <w:r>
        <w:rPr>
          <w:bCs/>
          <w:i/>
          <w:sz w:val="20"/>
          <w:szCs w:val="20"/>
        </w:rPr>
        <w:t>prihode od komunalnih doprinosa i naknada</w:t>
      </w:r>
      <w:r>
        <w:rPr>
          <w:bCs/>
          <w:iCs/>
          <w:sz w:val="20"/>
          <w:szCs w:val="20"/>
        </w:rPr>
        <w:t xml:space="preserve"> – čine ih </w:t>
      </w:r>
      <w:r>
        <w:rPr>
          <w:sz w:val="20"/>
          <w:szCs w:val="20"/>
        </w:rPr>
        <w:t>prihodi od komunalnog doprinosa, komunalne naknade za stambeni i poslovni prostor, godišnje naknade za groblje, prihodi od pogrebnih troškova.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Konto 66 –  Prihodi od prodaje proizvoda i robe te pruženih usluga i prihoda od donacije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 xml:space="preserve">planirani su u iznosu od 1.600,00 EUR, smanjenje u odnosu na 2022. za 51,78%. </w:t>
      </w:r>
      <w:r>
        <w:rPr>
          <w:sz w:val="20"/>
          <w:szCs w:val="20"/>
        </w:rPr>
        <w:t>Odnose se na gradske prihode od kapitalnih donacija građana za asfaltiranje cesta, te proračunskih korisnika u vidu donacija za manifestacije ili nabavu opreme.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Konto 68 – Kazne, upravne mjere i ostali prihodi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planirani su u iznosu od 7.570,00 EUR, smanjenje za 19,10% u odnosu na 2022.godinu. Odnose se na prihode od troškova postupka ovrha.</w:t>
      </w:r>
    </w:p>
    <w:p>
      <w:pPr>
        <w:pStyle w:val="Bezproreda"/>
        <w:rPr>
          <w:b/>
          <w:bCs/>
          <w:sz w:val="20"/>
          <w:szCs w:val="20"/>
          <w:u w:val="single"/>
        </w:rPr>
      </w:pPr>
    </w:p>
    <w:p>
      <w:pPr>
        <w:pStyle w:val="Bezproreda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  <w:highlight w:val="darkBlue"/>
        </w:rPr>
        <w:t xml:space="preserve">7 Prihodi od prodaje nefinancijske imovine  </w:t>
      </w:r>
      <w:r>
        <w:rPr>
          <w:color w:val="FFFFFF"/>
          <w:sz w:val="20"/>
          <w:szCs w:val="20"/>
        </w:rPr>
        <w:t>P</w:t>
      </w: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Konto 72 - Prihodi od prodaje proizvedene dugotrajne imovine </w:t>
      </w:r>
      <w:r>
        <w:rPr>
          <w:sz w:val="20"/>
          <w:szCs w:val="20"/>
        </w:rPr>
        <w:t>– Planirana sredstva u iznosu od 10.610,00 EUR, povećanje za 63,14% u odnosu na 2022. godinu.  Odnose se na:</w:t>
      </w: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planirana sredstva od prodaje stanova na kojima postoji stanarsko pravo (od uplaćenih novčanih sredstava 55% doznačuje se u državni proračun, a 45%  polaže se na žiro račun Proračuna grada Oroslavja), i</w:t>
      </w:r>
    </w:p>
    <w:p>
      <w:pPr>
        <w:pStyle w:val="Bezproreda"/>
        <w:rPr>
          <w:rStyle w:val="Naglaeno"/>
          <w:b w:val="0"/>
          <w:bCs w:val="0"/>
          <w:sz w:val="20"/>
          <w:szCs w:val="20"/>
        </w:rPr>
      </w:pPr>
      <w:r>
        <w:rPr>
          <w:rStyle w:val="Naglaeno"/>
          <w:bCs w:val="0"/>
          <w:sz w:val="20"/>
          <w:szCs w:val="20"/>
        </w:rPr>
        <w:t>b)</w:t>
      </w:r>
      <w:r>
        <w:rPr>
          <w:rStyle w:val="Naglaeno"/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sredstva </w:t>
      </w:r>
      <w:r>
        <w:rPr>
          <w:rFonts w:ascii="Times New Roman" w:hAnsi="Times New Roman"/>
          <w:sz w:val="20"/>
          <w:szCs w:val="20"/>
        </w:rPr>
        <w:t xml:space="preserve">za prihode ostvarene od prodaje gradskih socijalnih stanova uplaćenih od strane APN-a. agencije za posredovanje.  </w:t>
      </w:r>
    </w:p>
    <w:p>
      <w:pPr>
        <w:pStyle w:val="Bezproreda"/>
        <w:rPr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18"/>
        <w:gridCol w:w="420"/>
        <w:gridCol w:w="2860"/>
        <w:gridCol w:w="2267"/>
        <w:gridCol w:w="1389"/>
        <w:gridCol w:w="1389"/>
        <w:gridCol w:w="775"/>
        <w:gridCol w:w="280"/>
      </w:tblGrid>
      <w:tr>
        <w:trPr>
          <w:trHeight w:val="228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A2.   RASHODI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>
        <w:trPr>
          <w:gridBefore w:val="1"/>
          <w:gridAfter w:val="5"/>
          <w:wBefore w:w="118" w:type="dxa"/>
          <w:wAfter w:w="6100" w:type="dxa"/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</w:tr>
    </w:tbl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planirani su u iznosu od 2.594.540,00 EUR , u odnosu na 2022. godinu povećani su za 28,02%. Odnose se na Gradske rashode i rashode Proračunskih korisnika.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31 Rashodi za zaposlene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Obuhvaćaju rashode za zaposlene u jedinstvenom upravnom odjelu i zaposlene kod proračunskih korisnika – Otvoreno učilište, Gradska knjižnica i Dječji vrtić Oroslavje. Planirani su u  iznosu 791.090,00 EUR, u odnosu na 2022. godinu povećani su za 25,87 %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32 Materijalni rashodi</w:t>
      </w:r>
    </w:p>
    <w:p>
      <w:pPr>
        <w:pStyle w:val="Bezproreda"/>
        <w:rPr>
          <w:sz w:val="20"/>
          <w:szCs w:val="20"/>
          <w:u w:val="single"/>
        </w:rPr>
      </w:pPr>
      <w:r>
        <w:rPr>
          <w:sz w:val="20"/>
          <w:szCs w:val="20"/>
        </w:rPr>
        <w:t>Materijalni rashodi su planirani u ukupnom iznosu od 846.050,00 EUR, povećanje za 21,54 % u odnosu na 2022. godinu. Čine ih:</w:t>
      </w:r>
      <w:r>
        <w:rPr>
          <w:sz w:val="20"/>
          <w:szCs w:val="20"/>
        </w:rPr>
        <w:br/>
        <w:t xml:space="preserve">- </w:t>
      </w:r>
      <w:r>
        <w:rPr>
          <w:i/>
          <w:iCs/>
          <w:sz w:val="20"/>
          <w:szCs w:val="20"/>
        </w:rPr>
        <w:t>naknade troškova zaposlenima</w:t>
      </w:r>
      <w:r>
        <w:rPr>
          <w:sz w:val="20"/>
          <w:szCs w:val="20"/>
        </w:rPr>
        <w:t xml:space="preserve"> (naknade troškova prijevoza na posao i s posla, za službena putovanja i stručno usavršavanje zaposlenih), </w:t>
      </w:r>
      <w:r>
        <w:rPr>
          <w:sz w:val="20"/>
          <w:szCs w:val="20"/>
        </w:rPr>
        <w:br/>
        <w:t xml:space="preserve">- </w:t>
      </w:r>
      <w:r>
        <w:rPr>
          <w:i/>
          <w:iCs/>
          <w:sz w:val="20"/>
          <w:szCs w:val="20"/>
        </w:rPr>
        <w:t>rashodi za materijal i energiju</w:t>
      </w:r>
      <w:r>
        <w:rPr>
          <w:sz w:val="20"/>
          <w:szCs w:val="20"/>
        </w:rPr>
        <w:t xml:space="preserve"> (troškove uredskog materijala, literature, sredstava za čišćenje, radnu odjeću troškove električne energije i sitnog inventara za potrebe jedinstvenog upravnog odjela, za nabavu namirnica, didaktičke opreme, literature i plina za potrebe proračunskog korisnika te troškove materijala i dijelova za održavanje cesta, zelenih površina , kanalizacije,  javne rasvjete),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- rashodi za usluge</w:t>
      </w:r>
      <w:r>
        <w:rPr>
          <w:sz w:val="20"/>
          <w:szCs w:val="20"/>
        </w:rPr>
        <w:t xml:space="preserve"> (komunalne usluge, usluge promidžbe i informiranja, zakupnine, usluge tekućeg i investicijskog održavanja građevinskih objekata i opreme, za održavanje zelenih površina, nerazvrstanih cesta, javne rasvjete, dječjih igrališta, okoliša društvenih domova, sanacija šteta od elementarne nepogode, širokopojasne mreže interneta i dr) te </w:t>
      </w:r>
      <w:r>
        <w:rPr>
          <w:sz w:val="20"/>
          <w:szCs w:val="20"/>
        </w:rPr>
        <w:br/>
        <w:t xml:space="preserve">- </w:t>
      </w:r>
      <w:r>
        <w:rPr>
          <w:i/>
          <w:iCs/>
          <w:sz w:val="20"/>
          <w:szCs w:val="20"/>
        </w:rPr>
        <w:t>ostali nespomenuti rashodi poslovanja</w:t>
      </w:r>
      <w:r>
        <w:rPr>
          <w:sz w:val="20"/>
          <w:szCs w:val="20"/>
        </w:rPr>
        <w:t xml:space="preserve"> (naknada za rad predstavničkih i izvršnih tijela, povjerenstava i slično, rashode za reprezentaciju, premije osiguranja, ostale nespomenute rashode poslovanja (troškovi manifestacija i  dr.), troškovi korištenja odlagališta otpada) </w:t>
      </w:r>
      <w:r>
        <w:rPr>
          <w:sz w:val="20"/>
          <w:szCs w:val="20"/>
        </w:rPr>
        <w:br/>
      </w: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34 Financijski rashodi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Planirani su u  iznosu  37.790,00 EUR. U odnosu na 2022. godinu povećani  su za 21,24%.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Odnose se na kamate za primljene kredite (leasing), bankarske i usluge platnog prometa, zatezne kamate  te ostale nespomenute financijske rashode (troškovi manifestacija grada, naknade za rad predstavničkih tijela, premije osiguranja, reprezentacije te pristojbi i naknada).</w:t>
      </w:r>
      <w:r>
        <w:rPr>
          <w:sz w:val="20"/>
          <w:szCs w:val="20"/>
        </w:rPr>
        <w:br/>
      </w: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35 Subvencije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Planiraju se  rashodi u iznosu 34.770,00 EUR, a odnose se na subvencioniranje kamate obrtnicima malim i srednjim poduzetnicima iz kreditnih programa po ugovorima,  subvencija poljoprivrednicima za osjemenjivanje i obrtnicima te </w:t>
      </w:r>
      <w:r>
        <w:rPr>
          <w:sz w:val="20"/>
          <w:szCs w:val="20"/>
        </w:rPr>
        <w:lastRenderedPageBreak/>
        <w:t>trgovačkim društvima za izgradnju, rekonstrukciju. U odnosu na 2022. godinu rashodi su povećani za 6,93%.</w:t>
      </w:r>
      <w:r>
        <w:rPr>
          <w:sz w:val="20"/>
          <w:szCs w:val="20"/>
        </w:rPr>
        <w:br/>
      </w: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36 Pomoći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Pomoći dane unutar općeg proračuna planiraju se u iznosu 134.070,00 EUR. Odnose se na pomoći drugim proračunima te proračunskim kosnicima drugih proračuna. U odnosu na 2022. godinu povećane su za 52,66%.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37 Naknade građanima i kućanstvima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Planiraju se u iznosu 443.160,00 EUR. U odnosu na 2022. godinu naknade su povećane za 54,15%.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Odnose se na naknade unutar socijalnog programa koji obuhvaća naknade podmirenja troškova stanovanja u novcu i u naravi, pogrebne troškove, poklon pakete socijalno ugroženim obiteljima i samcima za blagdan Uskrsa i Božića, ljetovanje djece, nabavu školskih knjiga za učenike Osnovne škole,  jednokratna pomoć za novorođenče, za sufinanciranje cijene prijevoza učenika i studenata, za stipendije učenicima i studentima.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38 Ostali rashodi poslovanja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Obuhvaćaju tekuće donacije DVD Oroslavje i DVD Stubička Slatina, Turističkoj zajednici, Hrvatskom Crvenom križu, HGSS-u i ostalim udrugama građana i neprofitnim organizacijama. Planirani su u iznosu od 307.610,00 EUR. U odnosu na 2022. godinu povećani su za 16,94%.</w:t>
      </w:r>
    </w:p>
    <w:p>
      <w:pPr>
        <w:pStyle w:val="Bezproreda"/>
        <w:rPr>
          <w:sz w:val="20"/>
          <w:szCs w:val="20"/>
        </w:rPr>
      </w:pPr>
    </w:p>
    <w:tbl>
      <w:tblPr>
        <w:tblW w:w="4985" w:type="dxa"/>
        <w:tblInd w:w="113" w:type="dxa"/>
        <w:tblLook w:val="04A0" w:firstRow="1" w:lastRow="0" w:firstColumn="1" w:lastColumn="0" w:noHBand="0" w:noVBand="1"/>
      </w:tblPr>
      <w:tblGrid>
        <w:gridCol w:w="420"/>
        <w:gridCol w:w="4565"/>
      </w:tblGrid>
      <w:tr>
        <w:trPr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</w:tr>
    </w:tbl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planirani su u iznosu od 2.750.500,00 EUR. U odnosu na 2022. godinu smanjeni su za 11,42%.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41 Rashodi za nabavu neproizvedene dugotrajne imovine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Planirani su u iznosu od 26.540,00 EUR za nabavu zemljišta za groblje. 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42 Rashodi za nabavu proizvedene dugotrajne imovine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Planirani su u iznosu 2.273.780,00 EUR, a odnose se na izgradnju građevinskih objekata (nogostupi, izgradnja cesta, javne rasvjete, dogradnja vrtića, izgradnja reciklažnog dvorišta, dječjih igrališta, Poučne staze grada Oroslavja, biciklističke staze, Turističke infrastrukture i dr.), rashode za nabavu opreme te na rashode za nabavu nematerijalne proizvedene imovine (detaljni plan uređenja, izmjene i dopune prostornog plana). U odnosu na plan za 2022. godinu, povećani su za 30,58%.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45 Rashodi za dodatna ulaganja na nefinancijskoj imovini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Planirani su u iznosu 450.180,00 EUR  a odnose se na rekonstrukciju građevinskih objekata (društvenih domova i  mrtvačnice, javne rasvjete, asfaltiranja cesta, groblja.  U odnosu na 2022. godinu smanjeni su za 66,34%.</w:t>
      </w:r>
    </w:p>
    <w:p>
      <w:pPr>
        <w:pStyle w:val="Bezproreda"/>
        <w:rPr>
          <w:b/>
          <w:bCs/>
          <w:color w:val="FFFFFF"/>
          <w:sz w:val="20"/>
          <w:szCs w:val="20"/>
          <w:lang w:eastAsia="hr-HR"/>
        </w:rPr>
      </w:pPr>
    </w:p>
    <w:p>
      <w:pPr>
        <w:pStyle w:val="Bezproreda"/>
        <w:rPr>
          <w:b/>
          <w:bCs/>
          <w:color w:val="FFFFFF"/>
          <w:sz w:val="20"/>
          <w:szCs w:val="20"/>
          <w:lang w:eastAsia="hr-HR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4707"/>
        <w:gridCol w:w="958"/>
        <w:gridCol w:w="871"/>
        <w:gridCol w:w="1180"/>
        <w:gridCol w:w="663"/>
        <w:gridCol w:w="425"/>
        <w:gridCol w:w="160"/>
      </w:tblGrid>
      <w:tr>
        <w:trPr>
          <w:trHeight w:val="228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>
        <w:trPr>
          <w:gridAfter w:val="1"/>
          <w:wAfter w:w="293" w:type="dxa"/>
          <w:trHeight w:val="21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>
            <w:pPr>
              <w:pStyle w:val="Bezproreda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  <w:t>8 Primici od financijske imovine i zaduživanja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>
            <w:pPr>
              <w:pStyle w:val="Bezproreda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</w:pPr>
          </w:p>
        </w:tc>
      </w:tr>
    </w:tbl>
    <w:p>
      <w:pPr>
        <w:pStyle w:val="Bezproreda"/>
        <w:rPr>
          <w:rStyle w:val="Naglaeno"/>
          <w:rFonts w:asciiTheme="minorHAnsi" w:hAnsiTheme="minorHAnsi" w:cstheme="minorHAnsi"/>
          <w:b w:val="0"/>
          <w:sz w:val="20"/>
          <w:szCs w:val="20"/>
        </w:rPr>
      </w:pPr>
      <w:r>
        <w:rPr>
          <w:rStyle w:val="Naglaeno"/>
          <w:rFonts w:asciiTheme="minorHAnsi" w:hAnsiTheme="minorHAnsi" w:cstheme="minorHAnsi"/>
          <w:bCs w:val="0"/>
          <w:sz w:val="20"/>
          <w:szCs w:val="20"/>
        </w:rPr>
        <w:t>Konto 84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 xml:space="preserve"> – planirano je zaduženje u iznosu od 152.890,00 EUR. Odnosi se na </w:t>
      </w:r>
      <w:r>
        <w:rPr>
          <w:rStyle w:val="Naglaeno"/>
          <w:rFonts w:asciiTheme="minorHAnsi" w:hAnsiTheme="minorHAnsi" w:cstheme="minorHAnsi"/>
          <w:bCs w:val="0"/>
          <w:sz w:val="20"/>
          <w:szCs w:val="20"/>
        </w:rPr>
        <w:t>dio dugoročnog kredita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 xml:space="preserve"> koji je preostao za izgradnju </w:t>
      </w:r>
      <w:r>
        <w:rPr>
          <w:rStyle w:val="Naglaeno"/>
          <w:rFonts w:asciiTheme="minorHAnsi" w:hAnsiTheme="minorHAnsi" w:cstheme="minorHAnsi"/>
          <w:bCs w:val="0"/>
          <w:sz w:val="20"/>
          <w:szCs w:val="20"/>
        </w:rPr>
        <w:t>zgrade za sport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 xml:space="preserve"> i rekreaciju i uređenje Doma kulture. </w:t>
      </w: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>U 2022. godini realiziran je dugoročni kredit ukupnog iznosa 929.059,66 EUR čija glavnica će se otplatiti u 60 mjesečnih rata od kojih prva dospijeva 31.07.2024. godine (zadnja 30.06.2029. godine). Na iskorišteni kredit, počevši od  prvog dana korištenja kredita obračunava se redovna kamata u visini od 0,9% godišnje, fiksna.</w:t>
      </w:r>
    </w:p>
    <w:p>
      <w:pPr>
        <w:pStyle w:val="Bezproreda"/>
        <w:jc w:val="both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Fonts w:asciiTheme="minorHAnsi" w:eastAsia="Times New Roman" w:hAnsiTheme="minorHAnsi" w:cstheme="minorHAnsi"/>
          <w:color w:val="FFFFFF"/>
          <w:sz w:val="20"/>
          <w:szCs w:val="20"/>
          <w:lang w:eastAsia="hr-HR"/>
        </w:rPr>
        <w:t>i z</w:t>
      </w:r>
      <w:r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  <w:t xml:space="preserve"> (</w:t>
      </w: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Odnosi se na dugoročni kredit koji je bio planiran u Proračuna grada za 2021. godinu u iznosu od 7.000.000,00 kuna. Kako smo dana 30.12.2021. godine od Ministarstva financija primili Odluku o davanju suglasnosti za zaduženje kod Privredne banke nismo stigli realizirati isti u 2021. godini te je Ugovor o dugoročnom  kreditu  sklopljen s Privrednom bankom dana 04.01.2022. godine.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Odobreni iznos kredita iznosi 7.000.000,00 kuna za financiranje Projekata: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-izgradnja biciklističke staze u iznosu 800.000,00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-uređenje Doma kulture u iznosu 1.000.000,00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-izgradnja zgrade za sport i rekreaciju u iznosu 1.300.000,00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-rekonstrukciju Dječjeg vrtića u iznosu 1.500.000,00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>-izgradnju cesta, nogostupa i parkirališta u iznosu 1.000.000,00 kn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>-te dodatna ulaganja i asfaltiranje cesta u naseljima u iznosu 1.400.000,00 kn</w:t>
      </w: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>)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FFFF"/>
          <w:sz w:val="20"/>
          <w:szCs w:val="20"/>
          <w:lang w:eastAsia="hr-HR"/>
        </w:rPr>
        <w:t>a financijsku imovinu i otplate</w:t>
      </w:r>
    </w:p>
    <w:tbl>
      <w:tblPr>
        <w:tblW w:w="5103" w:type="dxa"/>
        <w:tblInd w:w="-5" w:type="dxa"/>
        <w:tblLook w:val="04A0" w:firstRow="1" w:lastRow="0" w:firstColumn="1" w:lastColumn="0" w:noHBand="0" w:noVBand="1"/>
      </w:tblPr>
      <w:tblGrid>
        <w:gridCol w:w="538"/>
        <w:gridCol w:w="4565"/>
      </w:tblGrid>
      <w:tr>
        <w:trPr>
          <w:trHeight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planirani su u iznosu od 408.760,00 EUR. Smanjeni su za 19,90% u odnosu na 2022. godinu.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Odnose se na izdatke za otplatu glavnice </w:t>
      </w:r>
    </w:p>
    <w:p>
      <w:pPr>
        <w:pStyle w:val="Bezproreda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kupljenih vozila na leasing (traktor i gospodarsko vozilo) </w:t>
      </w:r>
    </w:p>
    <w:p>
      <w:pPr>
        <w:pStyle w:val="Bezproreda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povrata kredita za izgradnju dječjeg vrtića </w:t>
      </w:r>
    </w:p>
    <w:p>
      <w:pPr>
        <w:pStyle w:val="Bezproreda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 robnog kredita (kompenziran za zakup) 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5665"/>
        <w:gridCol w:w="1154"/>
        <w:gridCol w:w="1180"/>
        <w:gridCol w:w="663"/>
        <w:gridCol w:w="584"/>
      </w:tblGrid>
      <w:tr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>
      <w:pPr>
        <w:pStyle w:val="Bezproreda"/>
        <w:rPr>
          <w:b/>
          <w:bCs/>
          <w:sz w:val="20"/>
          <w:szCs w:val="20"/>
        </w:rPr>
      </w:pPr>
      <w:r>
        <w:rPr>
          <w:sz w:val="20"/>
          <w:szCs w:val="20"/>
        </w:rPr>
        <w:t>Planirana su sredstva u iznosu od 247.260,00 EUR.</w:t>
      </w:r>
    </w:p>
    <w:p>
      <w:pPr>
        <w:pStyle w:val="Bezproreda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(Kako se višak prihoda iz protekle godine ne iskazuje na računima 6/7, već se u sam financijski plan uključuje </w:t>
      </w:r>
      <w:r>
        <w:rPr>
          <w:b/>
          <w:bCs/>
          <w:sz w:val="20"/>
          <w:szCs w:val="20"/>
        </w:rPr>
        <w:t xml:space="preserve">bilančna pozicija 922, </w:t>
      </w:r>
      <w:r>
        <w:rPr>
          <w:sz w:val="20"/>
          <w:szCs w:val="20"/>
        </w:rPr>
        <w:t xml:space="preserve">konačni rezultat poslovanja za 2022. biti će poznat u siječnju te se sada planira samo procjena rezultata poslovanja). 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sz w:val="26"/>
          <w:szCs w:val="26"/>
          <w:highlight w:val="cyan"/>
          <w:u w:val="single"/>
        </w:rPr>
      </w:pPr>
      <w:r>
        <w:rPr>
          <w:b/>
          <w:noProof/>
          <w:sz w:val="26"/>
          <w:szCs w:val="26"/>
          <w:highlight w:val="cyan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1948815</wp:posOffset>
                </wp:positionV>
                <wp:extent cx="1017270" cy="2540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hr-HR"/>
                              </w:rPr>
                              <w:t>5.753.800,00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3.95pt;margin-top:153.45pt;width:80.1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" stroked="f">
                <v:textbox>
                  <w:txbxContent>
                    <w:p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18"/>
                          <w:szCs w:val="18"/>
                          <w:lang w:eastAsia="hr-HR"/>
                        </w:rPr>
                        <w:t>5.753.800,00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366"/>
        <w:gridCol w:w="1276"/>
      </w:tblGrid>
      <w:tr>
        <w:trPr>
          <w:trHeight w:val="25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PRIHODI  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U EUR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2.855.540,00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1.702.320,00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73.600,00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65 Prihodi od upravnih i administrativnih pristojbi, pristojbi po posebnim propisima i naknadama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702.410,00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1.600,00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68 Kazne, upravne mjere i ostali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7.570,00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10.610,00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152.890,00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92 Rezultat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247.260,00</w:t>
            </w:r>
          </w:p>
        </w:tc>
      </w:tr>
    </w:tbl>
    <w:p>
      <w:pPr>
        <w:pStyle w:val="Bezproreda"/>
        <w:rPr>
          <w:b/>
          <w:sz w:val="26"/>
          <w:szCs w:val="26"/>
          <w:highlight w:val="cyan"/>
          <w:u w:val="single"/>
        </w:rPr>
      </w:pPr>
      <w:r>
        <w:rPr>
          <w:noProof/>
        </w:rPr>
        <w:drawing>
          <wp:inline distT="0" distB="0" distL="0" distR="0">
            <wp:extent cx="5947410" cy="4492487"/>
            <wp:effectExtent l="0" t="0" r="53340" b="381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76FF78E-75D7-DE46-A716-90FA8276BF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Bezproreda"/>
        <w:rPr>
          <w:b/>
          <w:sz w:val="26"/>
          <w:szCs w:val="26"/>
          <w:highlight w:val="cyan"/>
          <w:u w:val="single"/>
        </w:rPr>
      </w:pPr>
    </w:p>
    <w:tbl>
      <w:tblPr>
        <w:tblW w:w="7555" w:type="dxa"/>
        <w:tblLook w:val="04A0" w:firstRow="1" w:lastRow="0" w:firstColumn="1" w:lastColumn="0" w:noHBand="0" w:noVBand="1"/>
      </w:tblPr>
      <w:tblGrid>
        <w:gridCol w:w="6141"/>
        <w:gridCol w:w="1414"/>
      </w:tblGrid>
      <w:tr>
        <w:trPr>
          <w:trHeight w:val="26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RASHODI 2023.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U EUR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Gradonačelnik, Vijeće, Uprava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626.710,00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Upravljanje imovinom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262.510,00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Zaštita i spašavanje, vatrogastvo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147.790,00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193.640,00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Održavanje komunalne infrastrukture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156.350,00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Izgradnja komunalne infrastrukture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939.150,00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450.320,00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57.840,00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Predškolski odgoj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251.520,00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Osnovno, srednje i visoko obrazovanje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187.940,00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Socijala, zdravstvo, Grad prijatelj djece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168.550,00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Civilno društvo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55.080,00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Kreditno zaduživanje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38.760,00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Poljoprivreda, gospodarstvo, turizam, poduzetništvo, prostorni plan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202.660,00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DV Cvrkutić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1.920.610,00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Gradska knjižnica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76.590,00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Otvoreno učilište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17.780,00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5.753.800,00</w:t>
            </w:r>
          </w:p>
        </w:tc>
      </w:tr>
    </w:tbl>
    <w:p>
      <w:pPr>
        <w:pStyle w:val="Bezproreda"/>
        <w:rPr>
          <w:b/>
          <w:sz w:val="20"/>
          <w:szCs w:val="20"/>
          <w:highlight w:val="cyan"/>
          <w:u w:val="single"/>
        </w:rPr>
      </w:pPr>
    </w:p>
    <w:p>
      <w:pPr>
        <w:pStyle w:val="Bezproreda"/>
        <w:rPr>
          <w:b/>
          <w:sz w:val="26"/>
          <w:szCs w:val="26"/>
          <w:highlight w:val="cyan"/>
          <w:u w:val="single"/>
        </w:rPr>
      </w:pPr>
      <w:r>
        <w:rPr>
          <w:noProof/>
        </w:rPr>
        <w:drawing>
          <wp:inline distT="0" distB="0" distL="0" distR="0">
            <wp:extent cx="5852160" cy="4874150"/>
            <wp:effectExtent l="0" t="0" r="15240" b="317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A2E503B1-1A5A-B2F6-0672-7360BD65F2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Bezproreda"/>
        <w:rPr>
          <w:b/>
          <w:sz w:val="26"/>
          <w:szCs w:val="26"/>
          <w:highlight w:val="cyan"/>
          <w:u w:val="single"/>
        </w:rPr>
      </w:pPr>
    </w:p>
    <w:p>
      <w:pPr>
        <w:pStyle w:val="Bezproreda"/>
        <w:rPr>
          <w:b/>
          <w:sz w:val="26"/>
          <w:szCs w:val="26"/>
          <w:highlight w:val="cyan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highlight w:val="cyan"/>
          <w:u w:val="single"/>
        </w:rPr>
        <w:t>POSEBNI DIO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 posebnom dijelu  proračuna rashodi su raspoređeni po razdjelima, glavama, programima te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aktivnostima kao i tekućim i kapitalnim projektima  kako slijedi: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420"/>
        <w:gridCol w:w="6520"/>
      </w:tblGrid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Razdjel  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GRADSKO VIJEĆE I URED GRADONAČELNIKA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00101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GRADSKO VIJEĆE I URED GRADONAČELNIKA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Razdjel  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JEDINSTVENI UPRAVNI ODJEL GRADA OROSLAVJA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Glava  00201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JEDINSTVENI UPRAVNI ODJEL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DJEČJI VRTIĆ "CVRKUTIĆ" OROSLAVJE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GRADSKA KNJIŽNICA OROSLAVJE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OTVORENO UČILIŠTE OROSLAVJE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>
      <w:pPr>
        <w:pStyle w:val="Bezproreda"/>
        <w:ind w:firstLine="708"/>
      </w:pPr>
      <w:r>
        <w:t xml:space="preserve">Grad Oroslavje ima ustrojen Jedinstveni upravni odjel koji obavlja poslove iz samoupravnog djelokruga grada kao jedinice lokalne samouprave, sukladno Statutu Grada, zakonima i drugim propisima.  </w:t>
      </w:r>
    </w:p>
    <w:p>
      <w:pPr>
        <w:pStyle w:val="Bezproreda"/>
        <w:ind w:firstLine="708"/>
        <w:rPr>
          <w:color w:val="FFFFFF"/>
          <w:sz w:val="20"/>
          <w:szCs w:val="20"/>
          <w:highlight w:val="black"/>
        </w:rPr>
      </w:pPr>
      <w:r>
        <w:rPr>
          <w:color w:val="FFFFFF"/>
          <w:sz w:val="20"/>
          <w:szCs w:val="20"/>
          <w:highlight w:val="black"/>
        </w:rPr>
        <w:t>Posebni dio proračuna usklađen je s PROVEDBENIM PLANOM GRADA OROSLAVJA ZA RAZDOBLJE OD 2021.-2025. GODINE  - prema Ciljevima i Mjerama.</w:t>
      </w:r>
    </w:p>
    <w:p>
      <w:pPr>
        <w:pStyle w:val="Bezproreda"/>
        <w:ind w:firstLine="708"/>
        <w:rPr>
          <w:color w:val="FFFFFF"/>
          <w:highlight w:val="black"/>
        </w:rPr>
      </w:pPr>
      <w:r>
        <w:rPr>
          <w:color w:val="FFFFFF"/>
          <w:highlight w:val="black"/>
        </w:rPr>
        <w:t xml:space="preserve"> </w:t>
      </w:r>
    </w:p>
    <w:p>
      <w:pPr>
        <w:pStyle w:val="Bezproreda"/>
        <w:rPr>
          <w:color w:val="FFFFFF"/>
          <w:sz w:val="20"/>
          <w:szCs w:val="20"/>
          <w:highlight w:val="blue"/>
        </w:rPr>
      </w:pPr>
      <w:r>
        <w:rPr>
          <w:color w:val="FFFFFF"/>
          <w:sz w:val="20"/>
          <w:szCs w:val="20"/>
          <w:highlight w:val="blue"/>
        </w:rPr>
        <w:t>001 RAZDJEL: GRADSKO VIJEĆE , GRADONAČELNIK</w:t>
      </w:r>
    </w:p>
    <w:p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00101 GLAVA  1     GRADSKO VIJEĆE , GRADONAČELNIK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Ukupno planirana sredstva:  91.090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szCs w:val="16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1001 PROGRAM: REDOVNA DJELATNOST UREDA GRADONAČELNIKA I GRADSKOG VIJEĆA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85.620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Poslovanje ureda Gradonačelnika i Gradskog vijeća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40.490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Planirana su sredstva za: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 xml:space="preserve">1.Materijalne rashode u iznosu od 31.860 EUR, </w:t>
      </w:r>
      <w:r>
        <w:rPr>
          <w:rFonts w:asciiTheme="minorHAnsi" w:hAnsiTheme="minorHAnsi" w:cstheme="minorHAnsi"/>
          <w:iCs/>
          <w:sz w:val="20"/>
          <w:szCs w:val="20"/>
        </w:rPr>
        <w:t>odnose se na</w:t>
      </w:r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troškove informiranja, usluge odvjetnika i pravnog savjetnika, grafičke i tiskarske usluge (štampanje kalendara i dr. promo materijala za božićne i novogodišnje blagdane te kulturne manifestacije) i drugih intelektualnih usluga; o</w:t>
      </w:r>
      <w:r>
        <w:rPr>
          <w:rFonts w:asciiTheme="minorHAnsi" w:hAnsiTheme="minorHAnsi" w:cstheme="minorHAnsi"/>
          <w:i/>
          <w:sz w:val="20"/>
          <w:szCs w:val="20"/>
        </w:rPr>
        <w:t xml:space="preserve">stale nespomenute rashode poslovanja: </w:t>
      </w:r>
      <w:r>
        <w:rPr>
          <w:rFonts w:asciiTheme="minorHAnsi" w:hAnsiTheme="minorHAnsi" w:cstheme="minorHAnsi"/>
          <w:sz w:val="20"/>
          <w:szCs w:val="20"/>
        </w:rPr>
        <w:t>javnobilježničke i druge naknade, troškove reprezentacije t</w:t>
      </w:r>
      <w:r>
        <w:rPr>
          <w:rFonts w:asciiTheme="minorHAnsi" w:hAnsiTheme="minorHAnsi" w:cstheme="minorHAnsi"/>
          <w:i/>
          <w:sz w:val="20"/>
          <w:szCs w:val="20"/>
        </w:rPr>
        <w:t xml:space="preserve">e </w:t>
      </w:r>
      <w:r>
        <w:rPr>
          <w:rFonts w:asciiTheme="minorHAnsi" w:hAnsiTheme="minorHAnsi" w:cstheme="minorHAnsi"/>
          <w:i/>
          <w:sz w:val="20"/>
          <w:szCs w:val="20"/>
        </w:rPr>
        <w:br/>
        <w:t>2. Ostale financijske rashode</w:t>
      </w:r>
      <w:r>
        <w:rPr>
          <w:rFonts w:asciiTheme="minorHAnsi" w:hAnsiTheme="minorHAnsi" w:cstheme="minorHAnsi"/>
          <w:sz w:val="20"/>
          <w:szCs w:val="20"/>
        </w:rPr>
        <w:t xml:space="preserve"> u iznosu od 8.630 EUR, odnose se na zatezne kamate te naknade i kamate po pool kreditu te ostale financijske rashode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Naknada Poreznoj upravi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25.220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Prema članu 5. Zakona o financiranju jedinica lokalne samouprave, Ministarstvu  financija, poreznoj upravi pripada naknada u iznosu od 1% od ukupno naplaćenih prihoda za troškove obavljanja poslova utvrđivanja, evidentiranja, naplate, nadzora i ovrhe poreza na dohodak.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 - Proračunska zaliha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19.910 EUR za izvanredne i nepredviđene troškove poslovanja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1002 PROGRAM: RAZVOJ CIVILNOG DRUŠTVA – POLITIČKE STRANKE TE JAČANJE PARTNERSTVA I SURADNJE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su sredstva u iznosu od 5.470 EUR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Donacija političkim strankama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2.150 EUR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Partnerstva i članstva Grada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3.320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 USPJEŠNOSTI: Broj održanih sjednica gradskog vijeća te broj donesenih akata tijekom 2022. godine, broj objavljenih vijesti na gradskoj web stranici, broj gostovanja u elektronskim medijima, broj građana uključenih u obilježavanje Dana grada, broj uručenih priznanja te broj organiziranih događaja povodom Dana grada, povezivanje i uspostava suradnje s jedinicama lokalne i regionalne samouprave unutar i izvan Hrvatske te provedba EU projekata kako bi se iskoristila financijska sredstva iz raspoloživih fondova.</w:t>
      </w:r>
    </w:p>
    <w:p>
      <w:pPr>
        <w:pStyle w:val="Bezproreda"/>
      </w:pP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color w:val="FFFFFF"/>
          <w:sz w:val="20"/>
          <w:szCs w:val="20"/>
        </w:rPr>
      </w:pPr>
      <w:r>
        <w:rPr>
          <w:b/>
          <w:bCs/>
          <w:color w:val="FFFFFF"/>
          <w:sz w:val="20"/>
          <w:szCs w:val="20"/>
          <w:highlight w:val="blue"/>
        </w:rPr>
        <w:t xml:space="preserve">002 RAZDJEL  JEDINSTVENI UPRAVNI ODJEL GRADA OROSLAVJA </w:t>
      </w:r>
    </w:p>
    <w:p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00201 GLAVA  1   JEDINSTVENI UPRAVNI ODJEL</w:t>
      </w:r>
      <w:r>
        <w:rPr>
          <w:b/>
          <w:sz w:val="20"/>
          <w:szCs w:val="20"/>
        </w:rPr>
        <w:t xml:space="preserve">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Ukupno planirana sredstva: 3.647.730 EUR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  <w:u w:val="single"/>
        </w:rPr>
        <w:t>1001 PROGRAM: JAVNA UPRAVA I ADMINISTRACIJA</w:t>
      </w:r>
      <w:r>
        <w:rPr>
          <w:b/>
          <w:bCs/>
          <w:sz w:val="20"/>
          <w:szCs w:val="20"/>
          <w:u w:val="single"/>
        </w:rPr>
        <w:t xml:space="preserve">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lastRenderedPageBreak/>
        <w:t>Planirana sredstva:  535.620 EUR</w:t>
      </w:r>
    </w:p>
    <w:p>
      <w:pPr>
        <w:pStyle w:val="Bezproreda"/>
        <w:rPr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b/>
          <w:bCs/>
          <w:u w:val="single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Rashodi za administrativno, tehničko i stručno osoblje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327.240 EUR, strukturu čine: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Plaće, doprinosi i naknade troškova</w:t>
      </w:r>
      <w:r>
        <w:rPr>
          <w:rFonts w:asciiTheme="minorHAnsi" w:hAnsiTheme="minorHAnsi" w:cstheme="minorHAnsi"/>
          <w:sz w:val="20"/>
          <w:szCs w:val="20"/>
        </w:rPr>
        <w:t xml:space="preserve">  gradonačelnika i službenika te za djelatnika na održavanju, komunalnog redara planirana su u iznosu od 216.540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Materijalne rashode </w:t>
      </w:r>
      <w:r>
        <w:rPr>
          <w:rFonts w:asciiTheme="minorHAnsi" w:hAnsiTheme="minorHAnsi" w:cstheme="minorHAnsi"/>
          <w:iCs/>
          <w:sz w:val="20"/>
          <w:szCs w:val="20"/>
        </w:rPr>
        <w:t>u iznosu od 102.600 EUR;</w:t>
      </w:r>
      <w:r>
        <w:rPr>
          <w:rFonts w:asciiTheme="minorHAnsi" w:hAnsiTheme="minorHAnsi" w:cstheme="minorHAnsi"/>
          <w:sz w:val="20"/>
          <w:szCs w:val="20"/>
        </w:rPr>
        <w:t xml:space="preserve"> uključuju nabavu stručne literature i pretplatu na stručne časopisa, troškove uredskog materijala, troškove materijala za sredstva za čišćenje i održavanje uredskih prostorija ,  materijal za higijenske potrebe i njegu , troškove električne energije , potrošnje plina za prostorije Jedinstvenog upravnog odjela, te sitan inventar, usluge telefona ,poštarine, usluge tekućeg i investicijskog održavanja postrojenja i opreme, troškovi objave akata, opskrba vodom, pričuva, ugovora o djelu- administrativne usluge, usluge vještačenja računalne usluge – održavanje programa i web stranica , nespomenute usluge-uvez, izrada žigova, izrada ključeva, premije osiguranja zaposlenih i sl.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Financijske rashodi</w:t>
      </w:r>
      <w:r>
        <w:rPr>
          <w:rFonts w:asciiTheme="minorHAnsi" w:hAnsiTheme="minorHAnsi" w:cstheme="minorHAnsi"/>
          <w:sz w:val="20"/>
          <w:szCs w:val="20"/>
        </w:rPr>
        <w:t xml:space="preserve">: planirani su 8.100 EUR, obuhvaćaju usluge banaka, usluge platnog prometa, zatezne kamate te ostali rashodi, nepredviđeni rashodi. 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Vlastiti pogon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140.020 EUR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odnose se na plaće, doprinose i naknade troškova voditelja komunalnog odjela, grobara i radnika na održavanju, te Rashode za materijal i energiju i usluge.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A100003 - Održavanje vlastitih vozila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7.300 EUR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odnose se na troškove održavanja, registracije, premije osiguranja, nabava auto-guma.</w:t>
      </w:r>
      <w:r>
        <w:rPr>
          <w:rFonts w:asciiTheme="minorHAnsi" w:hAnsiTheme="minorHAnsi" w:cstheme="minorHAnsi"/>
          <w:i/>
          <w:sz w:val="20"/>
          <w:szCs w:val="20"/>
        </w:rPr>
        <w:br/>
        <w:t xml:space="preserve">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K100001- Opremanja javne uprave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42.610 EUR,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nabavu nove opreme te digitalizaciju javne uprave. Dio troškova financirat će se iz sredstava pomoći Fonda za zaštitu okoliša u iznosu od 8.892,40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T100001- Javni radovi – HZ za zapošljavanje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12.480 EUR.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 - Rad poljoprivrednog redara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5.970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sufinanciranje troškova plaće, doprinosa i naknada za prijevoz, troškova loko-vožnje izlazaka na teren  Poljoprivrednog redara 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Objava akata koje donose tijela grada u Službenim novinama i na web stranicama grada, broj riješenih upravnih i neupravnih predmeta, pravodobnost u postupanju u sudskim postupcima, pravodobnost u pripremi materijala za sjednice predstavničkog tijela i njegovih radnih tijela te priprema materijala za donošenje odluka gradonačelnika i praćenje aktivnosti drugih korisnika koji se financiraju u programima, transparentnost u radu, provođenje kontinuirane edukacije djelatnika.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1002 PROGRAM: UPRAVLJANJE IMOVINOM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262.510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Održavanje DD Gornje Oroslavje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4.380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bookmarkStart w:id="1" w:name="_Hlk118983995"/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naknade domara.</w:t>
      </w:r>
    </w:p>
    <w:bookmarkEnd w:id="1"/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Održavanje DD Andraševec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4.380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naknade domara.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 - Održavanje DD Mokrice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 4.780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naknade domara.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 - Održavanje DD Slatina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rashode za materijal i energiju. DD je u najmu te se troškovi energenata refundiraju od zakupnika.</w:t>
      </w:r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A100005  - Održavanje ostalih zgrada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20.840 EUR,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Odnose se na održavanje prostora: Spomen kuća Marka Čižmeka, prostorije šahovske udruge i udruge ribića, stara gradska knjižnica, udruga umirovljenika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troškove pričuve.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A100009 – Otplata glavnice primljenih Robnih zajmova od trgovačkih društava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11.790 EUR.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(Sklopljeni su Ugovori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zakupu poslovnog prostora U Društvenim domovima Mokrice i Slatina i to na način da su zakupnici izvršili </w:t>
      </w:r>
      <w:r>
        <w:rPr>
          <w:rFonts w:asciiTheme="minorHAnsi" w:hAnsiTheme="minorHAnsi" w:cstheme="minorHAnsi"/>
          <w:b/>
          <w:bCs/>
          <w:sz w:val="20"/>
          <w:szCs w:val="20"/>
        </w:rPr>
        <w:t>renovaciju dijela objekta</w:t>
      </w:r>
      <w:r>
        <w:rPr>
          <w:rFonts w:asciiTheme="minorHAnsi" w:hAnsiTheme="minorHAnsi" w:cstheme="minorHAnsi"/>
          <w:sz w:val="20"/>
          <w:szCs w:val="20"/>
        </w:rPr>
        <w:t xml:space="preserve"> u kojem se nalazi poslovni prostor).  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K100001-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DD i ostale zgrade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K100002-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Gornje Oroslavje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DD Andraševec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9.290 EUR za uređenje doma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Mokrice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66.360 EUR za rekonstrukciju doma iz vlastitih sredstava.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Slatina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17.250 EUR za rekonstrukciju doma iz vlastitih sredstava.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na ostalim zgradama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11.940 EUR za rekonstrukciju ostalih zgrada u vlasništvu Grada.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Nabava poslovnog prostora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sz w:val="20"/>
          <w:szCs w:val="20"/>
        </w:rPr>
        <w:t>POKAZATELJI USPJEŠNOSTI: kategorija energetske učinkovitosti objekta, broj manifestacija, priredbi održanih u prostoru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A100006  - Troškovi javne rasvjete</w:t>
      </w:r>
      <w:r>
        <w:rPr>
          <w:rFonts w:asciiTheme="minorHAnsi" w:hAnsiTheme="minorHAnsi" w:cstheme="minorHAnsi"/>
          <w:sz w:val="20"/>
          <w:szCs w:val="20"/>
        </w:rPr>
        <w:t xml:space="preserve">  planirana su sredstva u iznosu od 53.090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A100008  - Održavanje mrtvačnice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- </w:t>
      </w:r>
      <w:r>
        <w:rPr>
          <w:rFonts w:asciiTheme="minorHAnsi" w:hAnsiTheme="minorHAnsi" w:cstheme="minorHAnsi"/>
          <w:sz w:val="20"/>
          <w:szCs w:val="20"/>
        </w:rPr>
        <w:t>planirana su sredstva u iznosu od 23.900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na: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Materijalne rashode -  električna energija i materijal za održavanje objekta, opskrba vodom, usluge održavanja objekta u iznosu od 17.260 EUR</w:t>
      </w:r>
      <w:r>
        <w:rPr>
          <w:rFonts w:asciiTheme="minorHAnsi" w:hAnsiTheme="minorHAnsi" w:cstheme="minorHAnsi"/>
          <w:sz w:val="20"/>
          <w:szCs w:val="20"/>
        </w:rPr>
        <w:br/>
        <w:t>Rashode za investicijsko uređenje u iznosu od 6.640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K100007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– Mrtvačnica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nisu planirana sredstva u 2023. godini.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„Štale“-gospodarski objekt u Mokricama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13.270 EUR za adaptaciju zgrade.  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1003 PROGRAM: ORGANIZIRANJE I PROVOĐENJE ZAŠTITE I SPAŠAVANJA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19.580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bookmarkStart w:id="2" w:name="_Hlk499636694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7. SIGURNOST ZA STABILAN RAZVOJ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Jačanje protupožarne i civilne zaštite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Jačanjem sustava protupožarne i civilne zaštite osigurat će se mogućnost pravovremenog odgovora na krize te smanjivanje rizika od katastrofa uz nesmetano obavljanje djelatnosti operativnih snaga civilne zašite i vatrogastva.</w:t>
                  </w:r>
                </w:p>
              </w:tc>
            </w:tr>
          </w:tbl>
          <w:p>
            <w:pPr>
              <w:pStyle w:val="Bezproreda"/>
            </w:pPr>
          </w:p>
        </w:tc>
      </w:tr>
      <w:bookmarkEnd w:id="2"/>
    </w:tbl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Civilna zaštita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4.250 EUR, odnosi se za izradu Plana zaštite i spašavanja.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Gorska služba spašavanja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1.000 EUR, odnosi se tekuću donaciju Hrvatskoj gorskoj službi spašavanja.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T100001- Sufinanciranje projekta – Policija u zajednici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660 EUR, za usluge tiskanja promo materijala.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T100002- Program prometne kulture za najmlađe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400 EUR, za zajedničko sufinanciranje projekta sa KZŽ.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K100001- Postava sigurnosnih kamera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planirana su sredstva u iznosu od 13.270 EUR, za postavu sigurnosnih kamera na lokacijama grada.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POKAZATELJI USPJEŠNOSTI: Provedene mjere i aktivnosti vezane uz izgradnju i unapređenje sustava zaštite, broj intervencija HGSS na području grada Oroslavja.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1004 PROGRAM: PROGRAM RAZVOJA GOSPODARSTVA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39.150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Aktivnost A100001  - EU projekti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za izradu projekata za prijavu na natječaje  za korištenje sredstava</w:t>
            </w: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iz EU fondova predviđena su sredstva u iznosu od 26.540 EUR</w:t>
            </w:r>
          </w:p>
        </w:tc>
      </w:tr>
    </w:tbl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11. DIGITALNA TRANZICIJA DRUŠTVA I GOSPODARSTVA</w:t>
            </w:r>
          </w:p>
        </w:tc>
      </w:tr>
      <w:tr>
        <w:trPr>
          <w:trHeight w:val="168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10.1.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Ulaganje u digitalnu tranziciju</w:t>
            </w:r>
          </w:p>
        </w:tc>
      </w:tr>
      <w:tr>
        <w:trPr>
          <w:trHeight w:val="4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Mjerom se doprinosi  razvoju digitalne tranzicije u lokalnoj zajednici kroz promicanje internetske povezanosti.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Usluge održavanja sinhronog pristupa internetu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3.980 EUR. (aktivnost vezana uz izgradnju mreže besplatnog interneta).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širokopojasne infrastrukture pristupu interneta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3.980 EUR za nastavak izgradnje.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Izrada analize putničkog prijevoza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3.320 EUR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>planirana su sredstva u iznosu od 1.330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 USPJEŠNOSTI: provedba EU projekata kako bi se iskoristila financijska sredstva iz raspoloživih fondova,  pokrivenost teritorija širokopojasne mreže besplatnog interneta.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ind w:left="720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1005 PROGRAM: ZAŠTITA OKOLIŠA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193.640 EUR</w:t>
      </w:r>
      <w:r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0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8. EKOLOŠKA I ENERGETSKA TRANZICIJA ZA KLIMATSKU NEUTRALNOST</w:t>
                  </w:r>
                </w:p>
              </w:tc>
            </w:tr>
            <w:tr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7.3.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Zaštita i unaprjeđenje prirodnog okoliša</w:t>
                  </w:r>
                </w:p>
              </w:tc>
            </w:tr>
            <w:tr>
              <w:trPr>
                <w:trHeight w:val="66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Zaštita i održivo upravljanje prirodnim okolišem temelj su njegova očuvanja za buduće naraštaje, ali i jedan od preduvjeta sigurnog gospodarskog razvoja. Povećanje djelotvornosti sustava gospodarenja otpadom postići će se daljnjim ulaganjem u infrastrukturu za održivo gospodarenje otpadom.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Odvoz krupnog i glomaznog otpada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39.820 EUR za odvoz i za naknadu za korištenje odlagališta otpada koja čini značajniji izdatak. (sufinanciranje od strane Eko flora).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Troškovi za zaštitu kućnih ljubimaca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2.650 EUR (troškovi čipiranja, kastracije i sl.)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Aktivnost A100003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Higijeničarska služba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14.600 EUR, a odnose se na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troškove liječenja, zbrinjavanja napuštenih i izgubljenih životinja te uklanjanja lešina.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Sanacija nelegalnih odlagališta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smeća </w:t>
      </w:r>
      <w:r>
        <w:rPr>
          <w:rFonts w:asciiTheme="minorHAnsi" w:hAnsiTheme="minorHAnsi" w:cstheme="minorHAnsi"/>
          <w:sz w:val="20"/>
          <w:szCs w:val="20"/>
        </w:rPr>
        <w:t>planirana su sredstva u iznosu od 2.650 EUR.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Zimska služba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21.240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Poslovi deratizacije i dezinsekcije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11.950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A1000010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Zacjevljivanje oborinskih jaraka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3.980 EUR za nabavu cijevi i usluge postave.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prikupljanje otpada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 79.500 EUR, a odnose se na nabavu kanti za smeće koje su 40% financirane iz Fonda za zaštitu okoliša, a 60% iz vlastitih sredstava.  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reciklažnog dvorišta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 13.270 EUR iz vlastitih sredstava, a odnose se na troškove uređenja reciklažnog dvorišta.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Strojno orezivanje raslinja uz prometnice i sjeća suhih stabala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1.330 EUR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A100008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Uređivanje zapuštenih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2.650 EUR za usluge malčiranja.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Površina zaštićenih dijelova prirode, broj projekata vezanih uz zaštitu okoliša, indeks kvalitete zdravlja, broj udruga koje promiču zaštitu okoliša.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1006 PROGRAM: ODRŽAVANJE KOMUNALNE INFRASTRUKTURE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156.350 EUR prema Programu održavanja komunalne infrastrukture.</w:t>
      </w:r>
    </w:p>
    <w:p>
      <w:pPr>
        <w:pStyle w:val="Bezproreda"/>
        <w:rPr>
          <w:szCs w:val="16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cesta i drugih javnih puteva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46.460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održavanje na području cijelog grada: nabava i razgrtanje kamenog materijala, skidanje bankina, čišćenje jaraka, postava prometnih znakove i signalizaciju, proširenje putova, te investicijsko održavanje asfaltiranih cesta.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  <w:lang w:eastAsia="hr-HR"/>
        </w:rPr>
        <w:t>Sanacija šteta od elementarne nepogode na nerazvrstanim cestama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su sredstva u iznosu od 2.650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i uređivanje zelenih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39.560 EUR, Odnosi se na: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Materijalne rashode -sezonsko cvijeće i trajnice, sitni alat, pribor, gnojivo, armaturne mreže, cement, natpisne ploče, materijal za održavanje opreme, gorivo za kosilice i traktor, održavanje traktora, alata i strojeva te registraciju, zemljani radovi na zelenim površinama, nabava i popravak božićnog nakita  i dr. prema Programu o održavanja kom. Infrastrukture i premiju osiguranja traktora.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gradskog groblja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okoliša društvenih domova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2.650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održavanje parkova i drugih zelenih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15.920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dječjih igrališta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javne rasvjete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38.490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redovito održavanje  (materijal i usluga) i najam mreže (sklopljen Ugovor o najmu javne rasvjeta 1.LEDA URN M60-57W - 41 KOM, LEDA URBAN S30-30w -809 KOM, preostale dvije rate ) u iznosu od 30.530 EUR te nabavu Led rasvjete (7.960 EUR).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dužina saniranih cesta (šodranje puteva, uređenost bankina itd), kvadrature uređenosti zelenih površina,  </w:t>
      </w:r>
      <w:r>
        <w:rPr>
          <w:rFonts w:asciiTheme="minorHAnsi" w:hAnsiTheme="minorHAnsi" w:cstheme="minorHAnsi"/>
          <w:bCs/>
          <w:sz w:val="20"/>
          <w:szCs w:val="20"/>
        </w:rPr>
        <w:t xml:space="preserve">postignuta dobra uređenost objekata i njihova funkcionalnost, </w:t>
      </w:r>
      <w:r>
        <w:rPr>
          <w:rFonts w:asciiTheme="minorHAnsi" w:hAnsiTheme="minorHAnsi" w:cstheme="minorHAnsi"/>
          <w:sz w:val="20"/>
          <w:szCs w:val="20"/>
          <w:lang w:val="en-GB"/>
        </w:rPr>
        <w:t>broj održavanih dječjih igrališta i sprava na igralištu, % pokrivenosti LED rasvjetom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1007 PROGRAM: IZGRADNJA OBJEKATA I UREĐAJA KOMUNALNE INFRASTRUKTURE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939.150 EUR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nogostupa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464.530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Izgradnja je planirana iz izvora Pomoći od izvanproračunskog korisnika županije ŽUC-a u iznos od 132.720 EUR te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 Rekonstrukcija i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asfaltiranje cesta u naseljima i radnoj zoni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planirana su sredstva u iznosu od 256.970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Realizacija se planira iz Vlastitih izvora - komunalne naknade, komunalnog doprinosa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Postava autobusnih stajališta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radne zone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–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komunalna infrastruktura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26.540 EUR iz gradskih prihoda od komunalnog doprinosa.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7.5.Unaprjeđenje sustava vodoopskrbe i odvodnje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Mjera unaprjeđenja sustava vodoopskrbe i odvodnje podrazumijeva </w:t>
            </w:r>
          </w:p>
        </w:tc>
      </w:tr>
      <w:tr>
        <w:trPr>
          <w:trHeight w:val="1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Kvalitetno i održivo upravljanje te izgradnju objekata i uređaja vodoopskrbe.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vodovodnog sustava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-planirana su sredstva za zemljane radove u iznosu od 5.310 EUR kao kapitalna pomoć budući je mrežu preuzeo Zagorski vodovod.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objekata oborinske odvodnje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2.650 EUR,</w:t>
      </w:r>
    </w:p>
    <w:p>
      <w:pPr>
        <w:pStyle w:val="Bezproreda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sz w:val="20"/>
          <w:szCs w:val="20"/>
        </w:rPr>
        <w:t>za zacjeljivanje kanala uz cestu.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javne rasvjete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10.620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Rekonstrukcija javne rasvjete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EUR.</w:t>
      </w: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dječjih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igrališta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14.600 EUR za nastavak uređenja dječjih igrališta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dječjeg igrališta - park Vranicany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66.360 EUR iz vlastitih sredstava. 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dječjeg igrališta - Andraševec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2.650 EUR iz vlastitih sredstava za pripremne radove.</w:t>
      </w:r>
    </w:p>
    <w:p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groblja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30.520 EUR za kupnju zemljišta za proširenje groblja i za uređenje – iz vlastitih komunalnih sredstava.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K100007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komunalne infrastrukture novih stambenih zgrada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 iz gradskih prihoda od komunalnog doprinosa.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gradske tržnice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13.270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javnih parkirališta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26.540 EUR iz vlastitih sredstava.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POKAZATELJI USPJEŠNOSTI: broj saniranih klizišta, broj novih autobusnih stajališta, broj kućanstava priključenih na vodovodnu mrežu,  pokrivenost rasvjetom naseljenih dijelova grada,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broj novo izgrađenih sportskih i dječjih igrališta te sprava na igralištu, kilometri biciklističkih staza, </w:t>
      </w:r>
      <w:r>
        <w:rPr>
          <w:rFonts w:asciiTheme="minorHAnsi" w:hAnsiTheme="minorHAnsi" w:cstheme="minorHAnsi"/>
          <w:sz w:val="20"/>
          <w:szCs w:val="20"/>
        </w:rPr>
        <w:t>dužina novoizgrađenih cesta i nogostupa, dužina saniranih i moderniziranih cesta.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1008 PROGRAM: PROGRAM JAVNIH POTREBA U ŠPORTU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Planirana sredstva: 450.320 EUR </w:t>
      </w:r>
    </w:p>
    <w:p>
      <w:pPr>
        <w:pStyle w:val="Bezproreda"/>
        <w:rPr>
          <w:szCs w:val="16"/>
        </w:rPr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11556"/>
      </w:tblGrid>
      <w:tr>
        <w:trPr>
          <w:trHeight w:val="288"/>
        </w:trPr>
        <w:tc>
          <w:tcPr>
            <w:tcW w:w="1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mjere:4.1.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Razvoj sporta i rekreacije</w:t>
                  </w:r>
                </w:p>
              </w:tc>
            </w:tr>
            <w:tr>
              <w:trPr>
                <w:trHeight w:val="64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Mjerom će se osigurati podrška aktivnostima vezanim uz poticanje aktivnog načina života kroz sport i rekreaciju te radu organizacija civilnog društva u djelatnosti sporta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te poticati na rekreaciju izgradnjom poučne staze.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zajednice športskih udruga –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86.270 EUR koja se uplaćuju na račun Sportske zajednice grada Oroslavja,  koja po Programu  javnih potreba u sportu prenosi  financijska sredstva na račune drugih športskih udruga tijekom 2023. godine (prema raspisanom Javnom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Natječaju za realizaciju programa javnih potreba u sportu utvrđenih posebnim zakonom.)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Financiranje aktivnosti športskih udruga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–  pl</w:t>
      </w:r>
      <w:r>
        <w:rPr>
          <w:rFonts w:asciiTheme="minorHAnsi" w:hAnsiTheme="minorHAnsi" w:cstheme="minorHAnsi"/>
          <w:sz w:val="20"/>
          <w:szCs w:val="20"/>
        </w:rPr>
        <w:t>anirana su sredstva u iznosu 8.360 EUR, odnosi se na donacije udruzi AMK Oroslavje prema potpisanom sporazumu i donacijama ostalim sportskim  udrugama - jednokratno za neplanirane aktivnosti, dodijeljene Odlukom Gradonačelnika bez javnog natječaja do 663,60 EUR godišnje.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T100001-Sportske nagrade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Iznos od 2.650 EUR planiran je za nagrade pojedincima za ostvarenje vrhunskih rezultata u sportu.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Zgrade za šport i rekreaciju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ukupnom iznosu od 331.810 EUR. Izgradnja je planirana iz vlastitih sredstava (dio iz kredita u iznosu od 152.780 EUR)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K100002 Uređenje prostorija Auto moto kluba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ukupnom iznosu od 17.250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K100003 Izgradnja blendi na Streljani u Krušljevom Selu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ukupnom iznosu od 1.330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K100004 Izgradnja vježbališta na otvorenom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ukupnom iznosu od 2.650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sportskih udruga koje djeluju na području grada , broj njihovih članova, broj realiziranih programa, broj održanih manifestacija te broj posjetitelja</w:t>
      </w:r>
    </w:p>
    <w:p>
      <w:pPr>
        <w:pStyle w:val="Bezproreda"/>
      </w:pPr>
    </w:p>
    <w:p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1009 PROGRAM: JAVNE POTREBE U KULTURI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57.840 EUR</w:t>
      </w:r>
    </w:p>
    <w:p>
      <w:pPr>
        <w:pStyle w:val="Bezproreda"/>
        <w:rPr>
          <w:szCs w:val="16"/>
        </w:rPr>
      </w:pPr>
    </w:p>
    <w:tbl>
      <w:tblPr>
        <w:tblW w:w="7900" w:type="dxa"/>
        <w:tblInd w:w="-5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7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pStyle w:val="Bezproreda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cilja: SC 1. KONKURENTNO I INOVATIVNO GOSPODARSTVO</w:t>
            </w:r>
          </w:p>
        </w:tc>
      </w:tr>
      <w:tr>
        <w:trPr>
          <w:trHeight w:val="536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pStyle w:val="Bezprore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mjere: 1.2. Promicanje kulture te ulaganje u zaštitu kulturne baštine i infrastrukturu za provođenje kulturnih djelatnosti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pStyle w:val="Bezproreda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mjere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Njegovanje tradicije i daljnji razvoj kulturnih sadržaja osigurat će se ulaganjem u djelatnost Gradske knjižnice i čitaonice, udruga u kulturi i održavanjem i uređenjem sakralnih objekata i spomenika.</w:t>
            </w:r>
          </w:p>
        </w:tc>
      </w:tr>
    </w:tbl>
    <w:p>
      <w:pPr>
        <w:pStyle w:val="Bezproreda"/>
        <w:rPr>
          <w:b/>
          <w:bCs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Financiranje projekata u kulturi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planirane su sredstva u iznosu od 13.270 EUR , odnosi se na troškove za organiziranje kulturnih manifestacija. </w:t>
      </w:r>
      <w:bookmarkStart w:id="3" w:name="_Hlk532381819"/>
    </w:p>
    <w:bookmarkEnd w:id="3"/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A100003 - Održavanje Doma kulture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10.620 EUR, a odnosi se na potrošnju plina te održavanja opreme.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Aktivnost A100004 Osnovna djelatnost vjerske zajednice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3.320 EUR, a odnosi se na donaciju Župnom uredu Oroslavje.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K100001 Uređenje DOMA KULTURE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13.380 EUR za nabavu opreme i preostalo uređenje pomoćnih prostorija.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K100002 Uređenje parkova -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povijesni spomenici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13.270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K100003 Financiranje nabave opreme za kulturne manifestacije 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3.980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kulturnih udruga koje djeluju na području grada , broj njihovih članova, broj realiziranih programa, broj održanih manifestacija te broj posjetitelja, obnovljena materijalna baština, broj manifestacija za očuvanje tradicijskih običaja</w:t>
      </w:r>
    </w:p>
    <w:p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</w:p>
    <w:p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1010 PROGRAM: PREDŠKOLSKI ODGOJ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 251.520 EUR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5.1.Unaprjeđenje usluga u području predškolskog odgoja</w:t>
                  </w:r>
                </w:p>
              </w:tc>
            </w:tr>
            <w:tr>
              <w:trPr>
                <w:trHeight w:val="43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Kroz ovu mjeru osigurat će se dostupnost dječjeg vrtića i povećanje broja djece koja pohađaju dječji vrtić odnosno sudjeluju u vrtićkim i predškolskim obrazovnim programima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smještaja djece u vrtićima u vlasništvu drugih općina ili gradova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21.240 EUR, a odnosi se na planirana sredstva vrtićima u vlasništvu općina ili gradova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smještaja djece u privatnim vrtićima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225.630 EUR, a odnosi se na doznake privatnom vrtiću Šlapica iz Oroslavja i drugim privatnim vrtićima.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 Financiranje rada trećeg odgajatelja – osobnog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asistenta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4.650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>broj polaznika vrtića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1011 PROGRAM JAVNIH POTREBA U ŠKOLSTVU - OSNOVNO OBRAZOVANJE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107.780 EUR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Osnovnoj školi Oroslavje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9.290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prehrane učenika Osnovne škole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27.870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produženog boravka u OŠ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za učenike od 1. do 4. razreda </w:t>
      </w:r>
      <w:r>
        <w:rPr>
          <w:rFonts w:asciiTheme="minorHAnsi" w:hAnsiTheme="minorHAnsi" w:cstheme="minorHAnsi"/>
          <w:sz w:val="20"/>
          <w:szCs w:val="20"/>
        </w:rPr>
        <w:t>planirana su sredstva u iznosu od 34.510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knjiga za učenike osnovne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škole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34.540 EUR. (iz vlastitih sredstava i pomoći KZŽ)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K100001 Sufinanciranje izgradnje sportske dvorane Osnovne škole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po programu Škola u prirodi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270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izdaci namijenjeni za modernizaciju i opremanje odgojno obrazovnih ustanova, , broj pomoćnika u nastavi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1012  PROGRAM JAVNIH POTREBA U ŠKOLSTVU – SREDNOŠKOLSKO OBRAZOVANJE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47.910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 učenika -</w:t>
      </w:r>
      <w:r>
        <w:rPr>
          <w:rFonts w:asciiTheme="minorHAnsi" w:hAnsiTheme="minorHAnsi" w:cstheme="minorHAnsi"/>
          <w:sz w:val="20"/>
          <w:szCs w:val="20"/>
        </w:rPr>
        <w:t>planirana su sredstva u iznosu od 10.620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Srednjoj školi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Oroslavje </w:t>
      </w:r>
      <w:r>
        <w:rPr>
          <w:rFonts w:asciiTheme="minorHAnsi" w:hAnsiTheme="minorHAnsi" w:cstheme="minorHAnsi"/>
          <w:sz w:val="20"/>
          <w:szCs w:val="20"/>
        </w:rPr>
        <w:t>planirana su sredstva u iznosu od 9.290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učenika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18.710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stipendije prema kriteriju uspješnosti i  deficitarna zanimanja.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učenika po socijalnom kriteriju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stipendije prema kriteriju uspješnosti i  deficitarna zanimanja.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asistentice u nastavi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3.980 EUR., a prema potpisanom Sporazumu o sufinanciranju troškova sati rada pomoćnika u nastavi za učenike s teškoćama u razvoju tijekom školske godine  2021/2022. između SŠ Zabok i KZŽ.</w:t>
      </w:r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izdaci namijenjeni za modernizaciju i opremanje odgojno obrazovnih ustanova, broj stipendiranih učenika, broj pomoćnika u nastavi</w:t>
      </w:r>
    </w:p>
    <w:p>
      <w:pPr>
        <w:spacing w:after="0" w:line="240" w:lineRule="auto"/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1013  PROGRAM JAVNIH POTREBA U ŠKOLSTVU – VISOKOŠKOLSKO OBRAZOVANJE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32.250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studentima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15.000 EUR. Odnosi se na stipendije prema kriteriju uspješnosti i  deficitarna zanimanja.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studentima po socijalnom kriteriju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13.270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 studenata -</w:t>
      </w:r>
      <w:r>
        <w:rPr>
          <w:rFonts w:asciiTheme="minorHAnsi" w:hAnsiTheme="minorHAnsi" w:cstheme="minorHAnsi"/>
          <w:sz w:val="20"/>
          <w:szCs w:val="20"/>
        </w:rPr>
        <w:t>planirana su sredstva u iznosu od 3.980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stipendiranih  studenata </w:t>
      </w:r>
    </w:p>
    <w:p>
      <w:pPr>
        <w:pStyle w:val="Bezproreda"/>
        <w:rPr>
          <w:rFonts w:ascii="Arial" w:hAnsi="Arial" w:cs="Arial"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1014  PROGRAM: DODATNE USLUGE U ZDRAVSTVU I PREVENTIVA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5.310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4. ZDRAV, AKTIVAN I KVALITETAN ŽIVOT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4.3. Unaprjeđenje zdravstvenih usluga</w:t>
            </w:r>
          </w:p>
        </w:tc>
      </w:tr>
      <w:tr>
        <w:trPr>
          <w:trHeight w:val="4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Sufinanciranjem dodatnih usluga u sustavu zdravstvene zaštite osigurat će se dostupnost, kvaliteta i učinkovitost zdravstvene zaštite s ciljem promicanja zdravlja i zdravih načina života.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Rješavanje govorno-jezičnih poteškoća djece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EUR, odnosi se na troškove logopeda. Sufinanciranje troškova prijevoza iskazano je pod programom Socijalna skrb.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djece s poteškoćama u razvoju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1015  PROGRAM: SOCIJALNA SKRB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158.600 EUR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Pokrivanje troškova stanovanja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7.960 EUR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obiteljima u novcu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19.910 EUR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 u naravi - socijalni paketi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Poslovi prema zakonu o pogrebničkoj djelatnosti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>planirana su sredstva u iznosu od 2.650 EUR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Pružanje socijalne zaštite žrtvama od elementarnih nepogoda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prijevoza djece s poteškoćama u razvoju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1.330 EUR (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Rješavanje govorno-jezičnih poteškoća djece).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 osobama s posebnim potrebama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660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ljetovanja djece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4.650 EUR prema ispostavljenom računu Društva naša djeca.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A100011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odvoza komunalnog otpada za socijalu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1.990 EUR prema ispostavljenom računu od strane Eko flora.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 Tekući projekt U SLUŽBI SVIH NAS -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UP.02.1.1.12.0008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79.630 EUR (dobivena iz EU sredstva – socijalni fond) – završetak projekta.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 Aktivno uključivanje i poboljšanje zapošljivosti te razvoj inovativnih socijalnih usluga za ranjive skupine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Potpore za novorođeno dijete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 </w:t>
      </w:r>
      <w:r>
        <w:rPr>
          <w:rFonts w:asciiTheme="minorHAnsi" w:hAnsiTheme="minorHAnsi" w:cstheme="minorHAnsi"/>
          <w:sz w:val="20"/>
          <w:szCs w:val="20"/>
        </w:rPr>
        <w:t>planirana su sredstva u iznosu od 33.180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Naknada se isplaćuje za prvo dijete u iznosu  266 EUR,  za drugo dijete 531 EUR, a za treće dijete i svako sljedeće  u iznosu od 797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broju korisnika navedenih pomoći kao i učinku dodjele pomoći, broj novorođene djece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1016  PROGRAM: RAZVOJ CIVILNOG DRUŠTVA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Planirana sredstva:  55.080 EUR 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Humanitarna djelatnost Crvenog križa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12.610 EUR, a odnosi se na donaciju Crvenom križu Donja Stubica.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udruga civilnog društva i ostalih organizacija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42.470 EURA, donacije udrugama prema odobrenim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Sredstva temeljem raspisanih natječaja za zadovoljavanje javnih potreba utvrđenih posebnim zakonom kao i po odluci Gradonačelnika  do 5.000,00 kuna </w:t>
      </w:r>
      <w:r>
        <w:rPr>
          <w:rFonts w:asciiTheme="minorHAnsi" w:hAnsiTheme="minorHAnsi" w:cstheme="minorHAnsi"/>
          <w:sz w:val="20"/>
          <w:szCs w:val="20"/>
        </w:rPr>
        <w:t>jednokratno za neplanirane aktivnosti, dodijeljene bez javnog natječaja.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financiranje javnih potreba: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338"/>
        <w:gridCol w:w="4200"/>
        <w:gridCol w:w="1260"/>
        <w:gridCol w:w="1020"/>
        <w:gridCol w:w="960"/>
      </w:tblGrid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u kulturi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u zaštiti okoliša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u poljoprivredi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za zaštitu kućnih ljubimaca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ostalih udruga civilnog društva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</w:tbl>
    <w:p>
      <w:pPr>
        <w:pStyle w:val="Bezproreda"/>
      </w:pPr>
    </w:p>
    <w:p>
      <w:pPr>
        <w:pStyle w:val="Bezproreda"/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lokalnih udruga koje zastupaju interese socijalno ugroženih skupina, broj programa namijenjenih socijalno ugroženim skupinama 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1017 PROGRAM: PROGRAM KREDITNOG ZADUŽIVANJA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38.760 kn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rFonts w:ascii="Arial" w:hAnsi="Arial" w:cs="Arial"/>
          <w:b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– Otplata glavnice primljenih zajmova za gospodarsko vozilo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4.920 EUR, odnosi se na  otplate glavnice i kamata za gospodarsko  vozilo.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Otplata glavnice primljenih zajmova za traktor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25.480 EUR (otplata glavnice za 2 traktora)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Aktivnost  A100003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Otplata glavnice primljenih zajmova za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 xml:space="preserve">kapitalnu izgradnju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hr-HR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planirana su sredstva u iznosu</w:t>
            </w: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 8.360 kuna – samo kamata</w:t>
            </w: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POKAZATELJI USPJEŠNOSTI: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broj projekata čije je predfinanciranje osigurano kreditnim zaduženjem</w:t>
            </w:r>
          </w:p>
          <w:p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1018 PROGRAM:  GRAD OROSLAVJE – PRIJATELJ DJECE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4.640 EUR</w:t>
      </w:r>
    </w:p>
    <w:p>
      <w:pPr>
        <w:pStyle w:val="Bezproreda"/>
        <w:rPr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kvalitete života mladih obitelji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- Programska aktivnost - Grad Oroslavje  - Prijatelj djece - </w:t>
      </w:r>
      <w:r>
        <w:rPr>
          <w:rFonts w:asciiTheme="minorHAnsi" w:hAnsiTheme="minorHAnsi" w:cstheme="minorHAnsi"/>
          <w:sz w:val="20"/>
          <w:szCs w:val="20"/>
        </w:rPr>
        <w:t>planirana su sredstva u iznosu od 4.640 EUR.(</w:t>
      </w:r>
      <w:r>
        <w:rPr>
          <w:rFonts w:asciiTheme="minorHAnsi" w:eastAsia="Times New Roman" w:hAnsiTheme="minorHAnsi" w:cstheme="minorHAnsi"/>
          <w:color w:val="898989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društvena i stručna aktivnost, koja se temelji na implementaciji Konvencije UN-a o pravima djeteta i to na LOKALNOJ RAZINI- </w:t>
      </w:r>
      <w:r>
        <w:rPr>
          <w:rFonts w:asciiTheme="minorHAnsi" w:hAnsiTheme="minorHAnsi" w:cstheme="minorHAnsi"/>
          <w:color w:val="000000"/>
          <w:sz w:val="20"/>
          <w:szCs w:val="20"/>
        </w:rPr>
        <w:t>međusobno umrežavanje i suradnju Kroz sa Savezom DND-a,  gradovi i općine utječu na ciljeve Nacionalne strategije za djecu.</w:t>
      </w:r>
      <w:r>
        <w:rPr>
          <w:rFonts w:asciiTheme="minorHAnsi" w:hAnsiTheme="minorHAnsi" w:cstheme="minorHAnsi"/>
          <w:sz w:val="20"/>
          <w:szCs w:val="20"/>
        </w:rPr>
        <w:t>)pravima djeteta i to na LOKALNOJ RAZINI.)</w:t>
      </w:r>
    </w:p>
    <w:p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stvaranje zajedništva odraslih u kreiranju programa za djecu, međusektorsku suradnju, aktivnu participaciju djece u zajednici, povezivanje gradova i općina koji imaju zajednička opredjeljenja za djecu, utjecaj na definiranje nacionalne strategije u korist djece.</w:t>
      </w: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1019 PROGRAM:  PROGRAM JAVNIH POTREBA U VATROGASTVU</w:t>
      </w:r>
    </w:p>
    <w:p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128.210 EUR.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7. SIGURNOST ZA STABILAN RAZVOJ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Jačanje protupožarne i civilne zaštite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Jačanjem sustava protupožarne i civilne zaštite osigurat će se mogućnost pravovremenog odgovora na krize te smanjivanje rizika od katastrofa uz nesmetano obavljanje djelatnosti operativnih snaga civilne zašite i vatrogastva.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Javne vatrogasne postrojbe Zabok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43.800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pomoć gradu Zaboku za sufinanciranje rada Javne vatrogasne postrojbe u Zaboku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Preventivno djelovanje na zaštitu od požara - financiranje DVD-ova na području grada Oroslavja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planirana su sredstva u iznosu od 84.410 EUR za donacije vatrogasnim društvima:  DVD Oroslavje te DVD Slatina.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>POKAZATELJI USPJEŠNOSTI: Provedene mjere i aktivnosti vezane uz izgradnju i unapređenje sustava zaštite i spašavanja</w:t>
      </w:r>
      <w:r>
        <w:rPr>
          <w:rFonts w:asciiTheme="minorHAnsi" w:hAnsiTheme="minorHAnsi" w:cstheme="minorHAnsi"/>
          <w:sz w:val="20"/>
          <w:szCs w:val="20"/>
          <w:lang w:val="en-GB"/>
        </w:rPr>
        <w:t>, broj ugašenih požara i drugih intervencija DVD-ova, količina nabavljene opreme i kupljenih vozila, broj dobrovoljnih vatrogasaca uključenih u DVD- ove na području grada Oroslavja.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1020 PROGRAM:  PROGRAM MALOG I SREDNJEG PODUZETNIŠTVA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26.540 EUR.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Subvencioniranje kamata za odobrene kredite malim i srednjim poduzetnicima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13.270 EUR. Odobrena su za poduzetnička kredite: Legradmetal Mokrice, Preis-super Oroslavje, Kamen Kučiš Oroslavje, te Berislavić d.o.o. Mokrice, Oroslavje-zaštitna oprema Oroslavje, Monaris d.d. Oroslavje i Damos Ecoline d.o.o. Mokrice.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A100001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Subvencije trgovačkim društvima, obrtnicima za rekonstrukciju, dogradnju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 13.270 EUR koja će biti dodijeljena  prema Odluci o djelomično ili u cijelosti oslobađanju plaćanja komunalnog doprinosa o čemu će Odluku donijeti Gradonačelnik  i Gradsko vijeće ili provedenog Natječaja za subvenciju „Razvoja malog i srednjeg poduzetništva za 2023.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poduzetnika, broj obrtnika zainteresiranih za povećanje gospodarske aktivnosti ulaganjem u vlastiti posao, broj novo realiziranih investicija, broj zaposlenih,  broj odobrenih potpora.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1021 PROGRAM:  PROGRAM PROSTORNOG I PLANSKOG PLANIRANJA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Planirana sredstva: 33.180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7.4.Unaprjeđenje sustava prostornog planiranja</w:t>
            </w:r>
          </w:p>
        </w:tc>
      </w:tr>
      <w:tr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Pametno i odgovorno prostorno i urbanističko planiranje temelj je održivog razvoja te postizanja učinkovitosti i sprječavanja daljnjeg narušavanja prirodnog okoliša. Mjera uključuje izradu strateških dokumenata i prostorno-planske dokumentacije.</w:t>
            </w:r>
          </w:p>
        </w:tc>
      </w:tr>
    </w:tbl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Izrada planske dokumentacije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EUR, odnosi se na nastavak izrade  Detaljnog plana.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Provođenje izmjere stambenog i poslovnog prostora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26.540 EUR,</w:t>
      </w:r>
    </w:p>
    <w:p>
      <w:pPr>
        <w:pStyle w:val="Bezproreda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Iz sredstava pomoći od Hrvatskih voda i vlastitih prihoda.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Pokrivenost teritorija planskom dokumentacijom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1022 PROGRAM:  PROGRAM POTICANJA POLJOPRIVREDNE PROIZVODNJE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9.560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Poticanje poljoprivrede – subvencioniranje poljoprivrednicima za uzgoj stoke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4.650 EUR,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odnosi se na subvencioniranje osjemenjivanja krava i krmača i drugih subvencija poljoprivrednicima.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Poticanje poljoprivrede – subvencija izobrazbe poljoprivrednika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930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Potpore poljoprivrednicima za provođenje analize zemlje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 2.650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Sanacija šteta poljoprivrednicima od elementarne nepogode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poljoprivrednih gospodarstava, površina obrađenog poljoprivrednog zemljišta, broj stoke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1023 PROGRAM:  PROGRAM POTICANJA RAZVOJA TURIZMA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94.230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33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1. KONKURENTNO I INOVATIVNO GOSPODARSTVO</w:t>
            </w:r>
          </w:p>
        </w:tc>
      </w:tr>
      <w:tr>
        <w:trPr>
          <w:trHeight w:val="14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1.3. Razvoj turizma</w:t>
            </w:r>
          </w:p>
        </w:tc>
      </w:tr>
      <w:tr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održivog turizma ostvarit će se unaprjeđenjem postojećih turističkih sadržaja te razvojem novih u skladu s promjenama trendova turističke potražnje.</w:t>
            </w:r>
          </w:p>
        </w:tc>
      </w:tr>
    </w:tbl>
    <w:p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rada Turističke zajednice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26.540 EUR a odnosi se na tekuću donaciju Turističkoj zajednici Oroslavje za redovan rad.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–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Manifestacije i sajmovi zajednice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66.360 EUR za troškove organizacije.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Poučne staze Grada Oroslavja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 EUR,  iz 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POKAZATELJI USPJEŠNOSTI:  Broj turističkih dolazaka, broj poslovnih objekata u djelatnosti turizma, broj i kapacitet objekata za smještaj turista,  broj građana uključenih u obilježavanje Dana grada, broj uručenih priznanja te broj organiziranih događaja povodom Dana grada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Bodoni MT Black" w:hAnsi="Bodoni MT Black" w:cs="Arial"/>
          <w:b/>
          <w:sz w:val="20"/>
          <w:szCs w:val="20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>00202 GLAVA  2    DJE</w:t>
      </w:r>
      <w:r>
        <w:rPr>
          <w:rFonts w:ascii="Arial" w:hAnsi="Arial" w:cs="Arial"/>
          <w:b/>
          <w:sz w:val="20"/>
          <w:szCs w:val="20"/>
          <w:highlight w:val="cyan"/>
        </w:rPr>
        <w:t>Č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JI VRTI</w:t>
      </w:r>
      <w:r>
        <w:rPr>
          <w:rFonts w:ascii="Arial" w:hAnsi="Arial" w:cs="Arial"/>
          <w:b/>
          <w:sz w:val="20"/>
          <w:szCs w:val="20"/>
          <w:highlight w:val="cyan"/>
        </w:rPr>
        <w:t>Ć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„CVRKUTI</w:t>
      </w:r>
      <w:r>
        <w:rPr>
          <w:rFonts w:ascii="Arial" w:hAnsi="Arial" w:cs="Arial"/>
          <w:b/>
          <w:sz w:val="20"/>
          <w:szCs w:val="20"/>
          <w:highlight w:val="cyan"/>
        </w:rPr>
        <w:t>Ć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“ OROSLAVJE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1.960.610 EUR</w:t>
      </w:r>
    </w:p>
    <w:p>
      <w:pPr>
        <w:pStyle w:val="Bezproreda"/>
        <w:rPr>
          <w:rFonts w:ascii="Arial" w:hAnsi="Arial" w:cs="Arial"/>
          <w:sz w:val="18"/>
          <w:szCs w:val="18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5.1.Unaprjeđenje usluga u području predškolskog odgoja</w:t>
            </w:r>
          </w:p>
        </w:tc>
      </w:tr>
      <w:tr>
        <w:trPr>
          <w:trHeight w:val="4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Kroz ovu mjeru osigurat će se dostupnost dječjeg vrtića i povećanje broja djece koja pohađaju dječji vrtić odnosno sudjeluju u vrtićkim i predškolskim obrazovnim programima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sz w:val="18"/>
          <w:szCs w:val="18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1001 PROGRAM: REDOVNA DJELATNOST DJEČJEG VRTIĆA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Planirana sredstva:  489.080 EUR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Odgojno i  administrativno tehničko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320.790 EUR za  plaće i materijalne troškove iz izvora  redovnih prihoda proračuna.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Redovna djelatnost Dječjeg vrtića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( NA TERET SREDSTAVA PRORAČUNSKOG KORISNIKA-izvori prihoda proračunskog korisnika) planirana su sredstva u iznosu od 134.440 EUR za plaće i materijalne troškove , ali iz izvora proračunskog korisnika tj. sufinanciranja roditelja, pomoći i donacija vrtiću.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Projekt „Dopusti mi da naučim igrom“-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33.850 EUR, za financiranje projekta iz EU sredstava. 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polaznika i broj odgojnih skupina, broj aktivnosti koje se provode u okviru redovne djelatnosti Dječjeg vrtića Cvrkutić, broj roditelja zadovoljnih načinom na koji se u Dječjem vrtiću vodi briga o naobrazbi, zdravlju, prehrani, tjelesnim i intelektualnim aktivnostima djece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1002 PROGRAM: REKONSTRUKCIJA DJEČJEG VRTIĆA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390.990 kn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bookmarkStart w:id="4" w:name="_Hlk78543488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Otplate glavice kredita za izgradnju Dječjeg vrtića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112.270  EUR , za kamatu i otplatu glavnice.</w:t>
      </w:r>
    </w:p>
    <w:bookmarkEnd w:id="4"/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(U 2023. godini očekuje se razlika iz EU sredstava i iz istih će se zatvoriti dio glavnice otplate kredita (265.450 EU)).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Opremanje vrtića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13.270  EUR, za nabavu opreme.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1003 PROGRAM: PODRUČNI VRTIĆ MOKRICE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1.040.540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Kapitalni 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Izgradnja Područnog vrtića Mokrice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1.040.540 EUR, 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Za  izgradnju osigurana su sredstva od dobivene Pomoći iz EU sredstava u iznosu od 907.820 EUR (Sredstva su osigurana iz Nacionalnog programa oporavka i otpornosti (NPOO), a dio sredstava i iz Europskog fonda za regionalni razvoj (ERDF))  te vlastitih sredstava u iznosu od 132.720 EUR.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polaznika i broj odgojnih skupina, broj aktivnosti koje se provode u okviru redovne djelatnosti Dječjeg vrtića Cvrkutić,  broj roditelja zadovoljnih načinom na koji se u Dječjem vrtiću vodi briga o naobrazbi, zdravlju, prehrani, tjelesnim i intelektualnim aktivnostima djece</w:t>
      </w:r>
    </w:p>
    <w:p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Bodoni MT Black" w:hAnsi="Bodoni MT Black" w:cs="Arial"/>
          <w:b/>
          <w:sz w:val="20"/>
          <w:szCs w:val="20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00203 GLAVA  3  GRADSKA KNJIŽNICA OROSLAVJE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76.590 EUR</w:t>
      </w:r>
    </w:p>
    <w:p>
      <w:pPr>
        <w:pStyle w:val="Bezproreda"/>
        <w:rPr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76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48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Promicanje kulture te ulaganje u zaštitu kulturne baštine i infrastrukturu za provođenje kulturnih djelatnosti</w:t>
                  </w:r>
                </w:p>
              </w:tc>
            </w:tr>
            <w:tr>
              <w:trPr>
                <w:trHeight w:val="51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Njegovanje tradicije i daljnji razvoj kulturnih sadržaja osigurat će se ulaganjem u djelatnost Gradske knjižnice i čitaonice, udruga u kulturi i održavanjem i uređenjem sakralnih objekata i spomenika.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1001 PROGRAM: REDOVNA DJELATNOST GRADSKE KNJIŽNICE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76.590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Administrativno, stručno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66.360 EUR za plaće i materijalne troškove iz izvora  redovnih prihoda proračuna.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Redovna djelatnost Gradske knjižnice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( NA TERET SREDSTAVA PRORAČUNSKOG KORISNIKA-izvori prihoda proračunskog korisnika) planirana su sredstva u iznosu od 10.230 EUR za nabavu knjiga, ali iz izvora proračunskog korisnika, odnosno  članarina i pomoći knjižnici.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održanih književnih večeri, broj održanih promocija.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Bodoni MT Black" w:hAnsi="Bodoni MT Black" w:cs="Arial"/>
          <w:b/>
          <w:sz w:val="20"/>
          <w:szCs w:val="20"/>
          <w:highlight w:val="cyan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>00204   GLAVA  4    OTVORENO U</w:t>
      </w:r>
      <w:r>
        <w:rPr>
          <w:rFonts w:cs="Calibri"/>
          <w:b/>
          <w:sz w:val="20"/>
          <w:szCs w:val="20"/>
          <w:highlight w:val="cyan"/>
        </w:rPr>
        <w:t>Č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ILIŠTE OROSLAVJE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17.780 EUR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91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pStyle w:val="Bezproreda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  <w:t>Naziv mjere:2.1. Unaprjeđenje odgoja i obrazovanja</w:t>
                  </w:r>
                </w:p>
              </w:tc>
            </w:tr>
            <w:tr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pStyle w:val="Bezproreda"/>
                    <w:rPr>
                      <w:rFonts w:asciiTheme="minorHAnsi" w:hAnsiTheme="minorHAnsi" w:cstheme="minorHAnsi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  <w:t>Opis mjere: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hr-HR"/>
                    </w:rPr>
                    <w:t xml:space="preserve"> Redovna djelatnost Otvorenog učilišta.</w:t>
                  </w:r>
                </w:p>
              </w:tc>
            </w:tr>
          </w:tbl>
          <w:p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1001 PROGRAM: REDOVNA DJELATNOST OTVORENOG UČILIŠTA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Planirana sredstva: 17.780 EUR</w:t>
      </w: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Administrativno, stručno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16.060 EUR za plaće i materijalne troškove iz izvora  redovnih prihoda proračuna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Redovna djelatnost Otvorenog </w:t>
      </w:r>
      <w:r>
        <w:rPr>
          <w:rFonts w:asciiTheme="minorHAnsi" w:hAnsiTheme="minorHAnsi" w:cstheme="minorHAnsi"/>
          <w:sz w:val="20"/>
          <w:szCs w:val="20"/>
        </w:rPr>
        <w:t>( NA TERET SREDSTAVA PRORAČUNSKOG KORISNIKA-izvori prihoda proračunskog korisnika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planirana su sredstva u iznosu od 1.720 EUR za rashode za materijal i usluge iz prenesenog viška prihoda u 2022. godini. (Saldo žiro-računa Otvorenog učilišta u mirovanju).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  <w:bookmarkStart w:id="5" w:name="_Hlk90563242"/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ZAKONSKA OSNOVA: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proračunu (Narodne novine br. 87/08, 136/12 i 15/15,</w:t>
      </w:r>
      <w:r>
        <w:rPr>
          <w:rFonts w:ascii="Arial" w:hAnsi="Arial" w:cs="Arial"/>
          <w:color w:val="3C4043"/>
          <w:sz w:val="21"/>
          <w:szCs w:val="21"/>
        </w:rPr>
        <w:t xml:space="preserve"> </w:t>
      </w:r>
      <w:r>
        <w:rPr>
          <w:sz w:val="16"/>
          <w:szCs w:val="16"/>
        </w:rPr>
        <w:t>NN 129/22)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financiranju jedinica lokalne i područne (regionalne) samouprave (Narodne novine br. 127/17)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Zakon o lokalnoj i područnoj (regionalnoj) samoupravi (Narodne novine br. </w:t>
      </w:r>
      <w:r>
        <w:rPr>
          <w:sz w:val="16"/>
          <w:szCs w:val="16"/>
          <w:lang w:val="en-GB"/>
        </w:rPr>
        <w:t>33/01, 60/01, 129/05, 109/07, 125/08, 36/09, 150/11, 144/12, 19/13,137/15, 123/17 I 98/19 )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Zakon o financiranja javnih potreba u kulturi (NN 47/90,27/93,38/09),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Zakon o Udrugama (NN 74/14,70/17,98/19),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Zakon o financiranju političkih  aktivnosti i izborne promidžbe (Narodne novine br. 24/11, 61/11,  27/13 i 02/14)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Zakon o vatrogastvu (Narodne novine br. 106/99, 117/01, 36/02, 96/03, 139/04, 174/04, 38/09, 80/10)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zaštiti od požara (Narodne novine br. 92/10)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komunalnom gospodarstvu (Narodne novine br. 36/95, 70/97, 128/99, 57/00, 129/00, 59/01, 26/03, 82/04, 110/04, 178/04, 38/09, 79/09, 153/09, 49/11, 84/11, 90/11, 144/12, 94/13, 153/13, 147/14, 36/15)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veterinarstvu (Narodne novine  br. 82/13 i 148/13)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Zakon o turističkim zajednicama i promicanju hrvatskog turizma (Narodne novine br.152/08).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Opći porezni zakon (Narodne novine  br. 147/08, 18/11, 78/12, 136/12,  73/13, 26/15,  44/16 i 115/16))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javnoj nabavi (Narodne novine br.  90/11, 83/13, 143/13, 13/14 i 120/16)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cestama (Narodne novine br. 84/11, 22/13, 54/13, 148/13 i 92/14)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Zakon o prostornom uređenju i gradnji (Narodne novine br. 76/07, 38/09, 55/11, 90/11, 50/12, 55/12, 80/13 i 78/15)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otpadu (Narodne novine br. NN 178/04,  153/05, 111/06, 110/07 i 60/08, 87/09)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Zakon o zaštiti okoliša (Narodne novine br. 80/13, 153/13 i 78/15) 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Pravilnik o gospodarenju otpadom, (Narodne novine br. 23/07, 111/07, 23/14, 51/14, 121/15 i 132/15)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lastRenderedPageBreak/>
        <w:t>Pravilnik o vrstama otpada, (Narodne novine br.  27/96)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Pravilnik o ambalaži i ambalažnom otpadu, (Narodne novine br. 97/05, 115/05, 81/08, 31/09, 38/10, 10/11, 81/11, 89/11, 126/11, 38/13 i 86/13)</w:t>
      </w:r>
    </w:p>
    <w:p>
      <w:pPr>
        <w:pStyle w:val="Bezproreda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Zakon o sportu (NN br. 71/06, 150/08, 124/10, 124/11, 86/12, 94/13, 85/15 i 19/16,98/19,47/20,77/20)</w:t>
      </w:r>
    </w:p>
    <w:p>
      <w:pPr>
        <w:pStyle w:val="Bezproreda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Zakon o financiranju javnih potreba u kulturi (Narodne novine br. 47/90, 27/93 i 38/09)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Zakon o predškolskom odgoju i obrazovanju (Narodne novine br. 10/97, 107/07 i 94/13,98/19)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Zakon o odgoju i obrazovanju u osnovnoj i srednjoj školi (Narodne novine br.  87/08, 86/09, 92/10, 105/10, 90/11, 5/12, 16/12, 86/12, 126/12, 94/13 152/14, 07/17,68/18,98/19, 64/20)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Pravilnik o energetskom certificiranju zgrada (Narodne novine br. 113/08, 91/09, 36/10 i 135/11)</w:t>
      </w:r>
    </w:p>
    <w:p>
      <w:pPr>
        <w:pStyle w:val="Bezproreda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Zakon o socijalnoj skrbi </w:t>
      </w:r>
      <w:r>
        <w:rPr>
          <w:sz w:val="16"/>
          <w:szCs w:val="16"/>
        </w:rPr>
        <w:t>(Narodne novine br. 157/13, 152/14, 99/15 i 52/16,16/17,130/17,98/19,64/20)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Hrvatskom Crvenom križu (Narodne novine br. 71/10)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udrugama (Narodne novine br. 74/14),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od HGSS (NN79/06,110/15),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  <w:lang w:val="en-GB"/>
        </w:rPr>
        <w:t xml:space="preserve">Zakon  o prodaji stanova na kojima postoji stanarsko pravo (Narodne novine br. </w:t>
      </w:r>
      <w:r>
        <w:rPr>
          <w:sz w:val="16"/>
          <w:szCs w:val="16"/>
        </w:rPr>
        <w:t>43/92, 69/92, 87/92, 25/93, 26/93, 48/93, 2/94, 44/94, 47/94, 58/95, 103/95, 11/96, 76/96, 111/96, 11/97, 103/97, 119/97, 68/98, 163/98, 22/99, 96/99, 120/00, 94/01, 78/02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boravišnoj pristojbi (Narodne novine br. 152/08, 59/09, 97/13, 158/13 i 30/14)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Zakona o postupanju s nezakonito izgrađenim zgradama (Narodne novine br. 86/12 i 143/13) 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fiskalnoj dogovornosti (Narodne novine br. 139/10 i 19/14).</w:t>
      </w:r>
    </w:p>
    <w:bookmarkEnd w:id="5"/>
    <w:p/>
    <w:sectPr>
      <w:footerReference w:type="default" r:id="rId10"/>
      <w:pgSz w:w="11906" w:h="16838" w:code="9"/>
      <w:pgMar w:top="567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8F8"/>
    <w:multiLevelType w:val="hybridMultilevel"/>
    <w:tmpl w:val="7EAAB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4DA"/>
    <w:multiLevelType w:val="hybridMultilevel"/>
    <w:tmpl w:val="91D28B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6BC"/>
    <w:multiLevelType w:val="hybridMultilevel"/>
    <w:tmpl w:val="5F88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B0DDB"/>
    <w:multiLevelType w:val="hybridMultilevel"/>
    <w:tmpl w:val="2D3019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56E9"/>
    <w:multiLevelType w:val="hybridMultilevel"/>
    <w:tmpl w:val="CD90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16EE"/>
    <w:multiLevelType w:val="hybridMultilevel"/>
    <w:tmpl w:val="25D00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21ACB"/>
    <w:multiLevelType w:val="hybridMultilevel"/>
    <w:tmpl w:val="46C2D2AA"/>
    <w:lvl w:ilvl="0" w:tplc="5CEA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3831"/>
    <w:multiLevelType w:val="hybridMultilevel"/>
    <w:tmpl w:val="A8660444"/>
    <w:lvl w:ilvl="0" w:tplc="D9A4E9A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9A7E31"/>
    <w:multiLevelType w:val="hybridMultilevel"/>
    <w:tmpl w:val="4140A51E"/>
    <w:lvl w:ilvl="0" w:tplc="86C22C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446"/>
    <w:multiLevelType w:val="hybridMultilevel"/>
    <w:tmpl w:val="2CBEF238"/>
    <w:lvl w:ilvl="0" w:tplc="1A26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072C"/>
    <w:multiLevelType w:val="hybridMultilevel"/>
    <w:tmpl w:val="7908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662A"/>
    <w:multiLevelType w:val="hybridMultilevel"/>
    <w:tmpl w:val="755823B2"/>
    <w:lvl w:ilvl="0" w:tplc="522A6C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5EAC3411"/>
    <w:multiLevelType w:val="hybridMultilevel"/>
    <w:tmpl w:val="DE644A8A"/>
    <w:lvl w:ilvl="0" w:tplc="2FA05448">
      <w:start w:val="1"/>
      <w:numFmt w:val="bullet"/>
      <w:lvlText w:val="-"/>
      <w:lvlJc w:val="left"/>
      <w:pPr>
        <w:ind w:left="266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4" w15:restartNumberingAfterBreak="0">
    <w:nsid w:val="658866A1"/>
    <w:multiLevelType w:val="hybridMultilevel"/>
    <w:tmpl w:val="703AC822"/>
    <w:lvl w:ilvl="0" w:tplc="8F80A0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A35E7"/>
    <w:multiLevelType w:val="hybridMultilevel"/>
    <w:tmpl w:val="44ACF0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5C4E"/>
    <w:multiLevelType w:val="hybridMultilevel"/>
    <w:tmpl w:val="5120AE0A"/>
    <w:lvl w:ilvl="0" w:tplc="4CFE454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AF0E9F"/>
    <w:multiLevelType w:val="hybridMultilevel"/>
    <w:tmpl w:val="A9EC2D68"/>
    <w:lvl w:ilvl="0" w:tplc="B7D4D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C38F7"/>
    <w:multiLevelType w:val="hybridMultilevel"/>
    <w:tmpl w:val="F62CB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14153">
    <w:abstractNumId w:val="9"/>
  </w:num>
  <w:num w:numId="2" w16cid:durableId="1966083198">
    <w:abstractNumId w:val="10"/>
  </w:num>
  <w:num w:numId="3" w16cid:durableId="1029339079">
    <w:abstractNumId w:val="0"/>
  </w:num>
  <w:num w:numId="4" w16cid:durableId="1545485971">
    <w:abstractNumId w:val="4"/>
  </w:num>
  <w:num w:numId="5" w16cid:durableId="735863414">
    <w:abstractNumId w:val="12"/>
  </w:num>
  <w:num w:numId="6" w16cid:durableId="1249190936">
    <w:abstractNumId w:val="11"/>
  </w:num>
  <w:num w:numId="7" w16cid:durableId="1801729975">
    <w:abstractNumId w:val="6"/>
  </w:num>
  <w:num w:numId="8" w16cid:durableId="2032337244">
    <w:abstractNumId w:val="1"/>
  </w:num>
  <w:num w:numId="9" w16cid:durableId="1784376707">
    <w:abstractNumId w:val="3"/>
  </w:num>
  <w:num w:numId="10" w16cid:durableId="1023750519">
    <w:abstractNumId w:val="15"/>
  </w:num>
  <w:num w:numId="11" w16cid:durableId="1177690815">
    <w:abstractNumId w:val="7"/>
  </w:num>
  <w:num w:numId="12" w16cid:durableId="1331638977">
    <w:abstractNumId w:val="16"/>
  </w:num>
  <w:num w:numId="13" w16cid:durableId="230315445">
    <w:abstractNumId w:val="8"/>
  </w:num>
  <w:num w:numId="14" w16cid:durableId="656231530">
    <w:abstractNumId w:val="5"/>
  </w:num>
  <w:num w:numId="15" w16cid:durableId="2128039868">
    <w:abstractNumId w:val="17"/>
  </w:num>
  <w:num w:numId="16" w16cid:durableId="1097361711">
    <w:abstractNumId w:val="18"/>
  </w:num>
  <w:num w:numId="17" w16cid:durableId="1987859158">
    <w:abstractNumId w:val="2"/>
  </w:num>
  <w:num w:numId="18" w16cid:durableId="193426413">
    <w:abstractNumId w:val="13"/>
  </w:num>
  <w:num w:numId="19" w16cid:durableId="20968531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4010-A472-473D-8064-B48B8D1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jiga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jiga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chemeClr val="accent1">
                    <a:lumMod val="75000"/>
                  </a:schemeClr>
                </a:solidFill>
              </a:rPr>
              <a:t>PRIHODI</a:t>
            </a:r>
            <a:r>
              <a:rPr lang="hr-HR" b="1" baseline="0">
                <a:solidFill>
                  <a:schemeClr val="accent1">
                    <a:lumMod val="75000"/>
                  </a:schemeClr>
                </a:solidFill>
              </a:rPr>
              <a:t> 2023.</a:t>
            </a:r>
            <a:endParaRPr lang="hr-HR" b="1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79055227598288325"/>
          <c:y val="3.1950835579180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397051175054731E-2"/>
          <c:y val="0.14933027248574771"/>
          <c:w val="0.88421665033806263"/>
          <c:h val="0.804406479068279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B5-462C-8AED-94309AF415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B5-462C-8AED-94309AF415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B5-462C-8AED-94309AF415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B5-462C-8AED-94309AF415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7B5-462C-8AED-94309AF415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7B5-462C-8AED-94309AF415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7B5-462C-8AED-94309AF415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7B5-462C-8AED-94309AF4159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7B5-462C-8AED-94309AF415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List2!$A$2:$A$10</c:f>
              <c:strCache>
                <c:ptCount val="9"/>
                <c:pt idx="0">
                  <c:v>61 Prihodi od poreza</c:v>
                </c:pt>
                <c:pt idx="1">
                  <c:v>63 Pomoći iz inozemstva i od subjekata unutar općeg proračuna</c:v>
                </c:pt>
                <c:pt idx="2">
                  <c:v>64 Prihodi od imovine</c:v>
                </c:pt>
                <c:pt idx="3">
                  <c:v>65 Prihodi od upravnih i administrativnih pristojbi, pristojbi po posebnim propisima i naknada</c:v>
                </c:pt>
                <c:pt idx="4">
                  <c:v>66 Prihodi od prodaje proizvoda i robe te pruženih usluga i prihodi od donacija</c:v>
                </c:pt>
                <c:pt idx="5">
                  <c:v>68 Kazne, upravne mjere i ostali prihodi</c:v>
                </c:pt>
                <c:pt idx="6">
                  <c:v>72 Prihodi od prodaje proizvedene dugotrajne imovine</c:v>
                </c:pt>
                <c:pt idx="7">
                  <c:v>84 Primici od zaduživanja</c:v>
                </c:pt>
                <c:pt idx="8">
                  <c:v>92 Rezultat poslovanja</c:v>
                </c:pt>
              </c:strCache>
            </c:strRef>
          </c:cat>
          <c:val>
            <c:numRef>
              <c:f>List2!$B$2:$B$10</c:f>
              <c:numCache>
                <c:formatCode>#,##0.00</c:formatCode>
                <c:ptCount val="9"/>
                <c:pt idx="0">
                  <c:v>2855540</c:v>
                </c:pt>
                <c:pt idx="1">
                  <c:v>1702320</c:v>
                </c:pt>
                <c:pt idx="2">
                  <c:v>73600</c:v>
                </c:pt>
                <c:pt idx="3">
                  <c:v>702410</c:v>
                </c:pt>
                <c:pt idx="4">
                  <c:v>1600</c:v>
                </c:pt>
                <c:pt idx="5">
                  <c:v>7570</c:v>
                </c:pt>
                <c:pt idx="6">
                  <c:v>10610</c:v>
                </c:pt>
                <c:pt idx="7">
                  <c:v>152890</c:v>
                </c:pt>
                <c:pt idx="8">
                  <c:v>247260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7B5-462C-8AED-94309AF4159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2023.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161831122461054E-2"/>
          <c:y val="0.14982395728982154"/>
          <c:w val="0.84500693417998429"/>
          <c:h val="0.785353246513151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6CE-4DD9-AA54-BCB131565E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6CE-4DD9-AA54-BCB131565E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6CE-4DD9-AA54-BCB131565E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6CE-4DD9-AA54-BCB131565E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6CE-4DD9-AA54-BCB131565E3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56CE-4DD9-AA54-BCB131565E3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56CE-4DD9-AA54-BCB131565E3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56CE-4DD9-AA54-BCB131565E3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56CE-4DD9-AA54-BCB131565E3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56CE-4DD9-AA54-BCB131565E3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56CE-4DD9-AA54-BCB131565E3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56CE-4DD9-AA54-BCB131565E3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56CE-4DD9-AA54-BCB131565E3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56CE-4DD9-AA54-BCB131565E3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56CE-4DD9-AA54-BCB131565E38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56CE-4DD9-AA54-BCB131565E38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56CE-4DD9-AA54-BCB131565E38}"/>
              </c:ext>
            </c:extLst>
          </c:dPt>
          <c:dLbls>
            <c:dLbl>
              <c:idx val="0"/>
              <c:layout>
                <c:manualLayout>
                  <c:x val="-3.470136803470137E-2"/>
                  <c:y val="-5.1538992802727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CE-4DD9-AA54-BCB131565E38}"/>
                </c:ext>
              </c:extLst>
            </c:dLbl>
            <c:dLbl>
              <c:idx val="1"/>
              <c:layout>
                <c:manualLayout>
                  <c:x val="-1.5832273895450569E-2"/>
                  <c:y val="-0.1575002180102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CE-4DD9-AA54-BCB131565E38}"/>
                </c:ext>
              </c:extLst>
            </c:dLbl>
            <c:dLbl>
              <c:idx val="2"/>
              <c:layout>
                <c:manualLayout>
                  <c:x val="-1.1176557031933508E-2"/>
                  <c:y val="-0.1274416886814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CE-4DD9-AA54-BCB131565E38}"/>
                </c:ext>
              </c:extLst>
            </c:dLbl>
            <c:dLbl>
              <c:idx val="3"/>
              <c:layout>
                <c:manualLayout>
                  <c:x val="-1.1176557031933508E-2"/>
                  <c:y val="-0.104353330426530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CE-4DD9-AA54-BCB131565E38}"/>
                </c:ext>
              </c:extLst>
            </c:dLbl>
            <c:dLbl>
              <c:idx val="4"/>
              <c:layout>
                <c:manualLayout>
                  <c:x val="-1.3634282042869642E-3"/>
                  <c:y val="-6.56295878324655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CE-4DD9-AA54-BCB131565E38}"/>
                </c:ext>
              </c:extLst>
            </c:dLbl>
            <c:dLbl>
              <c:idx val="5"/>
              <c:layout>
                <c:manualLayout>
                  <c:x val="-1.0906613304415063E-2"/>
                  <c:y val="5.34478443880139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6CE-4DD9-AA54-BCB131565E38}"/>
                </c:ext>
              </c:extLst>
            </c:dLbl>
            <c:dLbl>
              <c:idx val="6"/>
              <c:layout>
                <c:manualLayout>
                  <c:x val="8.6805555555555552E-2"/>
                  <c:y val="8.84721331657637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6CE-4DD9-AA54-BCB131565E38}"/>
                </c:ext>
              </c:extLst>
            </c:dLbl>
            <c:dLbl>
              <c:idx val="7"/>
              <c:layout>
                <c:manualLayout>
                  <c:x val="9.8970123851705963E-2"/>
                  <c:y val="2.23597424914720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6CE-4DD9-AA54-BCB131565E38}"/>
                </c:ext>
              </c:extLst>
            </c:dLbl>
            <c:dLbl>
              <c:idx val="8"/>
              <c:layout>
                <c:manualLayout>
                  <c:x val="0.2183460465879265"/>
                  <c:y val="9.75653645900125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6CE-4DD9-AA54-BCB131565E38}"/>
                </c:ext>
              </c:extLst>
            </c:dLbl>
            <c:dLbl>
              <c:idx val="9"/>
              <c:layout>
                <c:manualLayout>
                  <c:x val="0.15325999289151357"/>
                  <c:y val="7.48096129677601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6CE-4DD9-AA54-BCB131565E38}"/>
                </c:ext>
              </c:extLst>
            </c:dLbl>
            <c:dLbl>
              <c:idx val="10"/>
              <c:layout>
                <c:manualLayout>
                  <c:x val="3.9354870680227472E-2"/>
                  <c:y val="0.145286721895919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6CE-4DD9-AA54-BCB131565E38}"/>
                </c:ext>
              </c:extLst>
            </c:dLbl>
            <c:dLbl>
              <c:idx val="11"/>
              <c:layout>
                <c:manualLayout>
                  <c:x val="4.2719782097550306E-2"/>
                  <c:y val="0.12028931237015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6CE-4DD9-AA54-BCB131565E38}"/>
                </c:ext>
              </c:extLst>
            </c:dLbl>
            <c:dLbl>
              <c:idx val="12"/>
              <c:layout>
                <c:manualLayout>
                  <c:x val="-3.2390604494750654E-2"/>
                  <c:y val="6.76890404986020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6CE-4DD9-AA54-BCB131565E38}"/>
                </c:ext>
              </c:extLst>
            </c:dLbl>
            <c:dLbl>
              <c:idx val="13"/>
              <c:layout>
                <c:manualLayout>
                  <c:x val="-2.5261954560367453E-2"/>
                  <c:y val="-4.73967529303136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6CE-4DD9-AA54-BCB131565E38}"/>
                </c:ext>
              </c:extLst>
            </c:dLbl>
            <c:dLbl>
              <c:idx val="14"/>
              <c:layout>
                <c:manualLayout>
                  <c:x val="4.004004004004004E-2"/>
                  <c:y val="-8.7807172923165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6CE-4DD9-AA54-BCB131565E38}"/>
                </c:ext>
              </c:extLst>
            </c:dLbl>
            <c:dLbl>
              <c:idx val="15"/>
              <c:layout>
                <c:manualLayout>
                  <c:x val="-0.12616264763779528"/>
                  <c:y val="-2.89655030906153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6CE-4DD9-AA54-BCB131565E38}"/>
                </c:ext>
              </c:extLst>
            </c:dLbl>
            <c:dLbl>
              <c:idx val="16"/>
              <c:layout>
                <c:manualLayout>
                  <c:x val="-2.7386811023622126E-2"/>
                  <c:y val="-6.1629895611582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6CE-4DD9-AA54-BCB131565E3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List3!$A$2:$A$18</c:f>
              <c:strCache>
                <c:ptCount val="17"/>
                <c:pt idx="0">
                  <c:v>Gradonačelnik, Vijeće, Uprava</c:v>
                </c:pt>
                <c:pt idx="1">
                  <c:v>Upravljanje imovinom</c:v>
                </c:pt>
                <c:pt idx="2">
                  <c:v>Zaštita i spašavanje, vatrogastvo</c:v>
                </c:pt>
                <c:pt idx="3">
                  <c:v>Zaštita okoliša</c:v>
                </c:pt>
                <c:pt idx="4">
                  <c:v>Održavanje komunalne infrastrukture</c:v>
                </c:pt>
                <c:pt idx="5">
                  <c:v>Izgradnja komunalne infrastrukture</c:v>
                </c:pt>
                <c:pt idx="6">
                  <c:v>Sport</c:v>
                </c:pt>
                <c:pt idx="7">
                  <c:v>Kultura</c:v>
                </c:pt>
                <c:pt idx="8">
                  <c:v>Predškolski odgoj</c:v>
                </c:pt>
                <c:pt idx="9">
                  <c:v>Osnovno, srednje i visoko obrazovanje</c:v>
                </c:pt>
                <c:pt idx="10">
                  <c:v>Socijala, zdravstvo, Grad prijatelj djece</c:v>
                </c:pt>
                <c:pt idx="11">
                  <c:v>Civilno društvo</c:v>
                </c:pt>
                <c:pt idx="12">
                  <c:v>Kreditno zaduživanje</c:v>
                </c:pt>
                <c:pt idx="13">
                  <c:v>Poljoprivreda, gospodarstvo, turizam, poduzetništvo, prostorni plan</c:v>
                </c:pt>
                <c:pt idx="14">
                  <c:v>DV Cvrkutić</c:v>
                </c:pt>
                <c:pt idx="15">
                  <c:v>Gradska knjižnica</c:v>
                </c:pt>
                <c:pt idx="16">
                  <c:v>Otvoreno učilište </c:v>
                </c:pt>
              </c:strCache>
            </c:strRef>
          </c:cat>
          <c:val>
            <c:numRef>
              <c:f>List3!$B$2:$B$18</c:f>
              <c:numCache>
                <c:formatCode>#,##0.00</c:formatCode>
                <c:ptCount val="17"/>
                <c:pt idx="0">
                  <c:v>626710</c:v>
                </c:pt>
                <c:pt idx="1">
                  <c:v>262510</c:v>
                </c:pt>
                <c:pt idx="2">
                  <c:v>147790</c:v>
                </c:pt>
                <c:pt idx="3">
                  <c:v>193640</c:v>
                </c:pt>
                <c:pt idx="4">
                  <c:v>156350</c:v>
                </c:pt>
                <c:pt idx="5">
                  <c:v>939150</c:v>
                </c:pt>
                <c:pt idx="6">
                  <c:v>450320</c:v>
                </c:pt>
                <c:pt idx="7">
                  <c:v>57840</c:v>
                </c:pt>
                <c:pt idx="8">
                  <c:v>251520</c:v>
                </c:pt>
                <c:pt idx="9">
                  <c:v>187940</c:v>
                </c:pt>
                <c:pt idx="10">
                  <c:v>168550</c:v>
                </c:pt>
                <c:pt idx="11">
                  <c:v>55080</c:v>
                </c:pt>
                <c:pt idx="12">
                  <c:v>38760</c:v>
                </c:pt>
                <c:pt idx="13">
                  <c:v>202660</c:v>
                </c:pt>
                <c:pt idx="14">
                  <c:v>1920610</c:v>
                </c:pt>
                <c:pt idx="15">
                  <c:v>76590</c:v>
                </c:pt>
                <c:pt idx="16">
                  <c:v>17780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56CE-4DD9-AA54-BCB131565E3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511C-E427-433C-AE02-3CF07C8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25</Pages>
  <Words>11103</Words>
  <Characters>63288</Characters>
  <Application>Microsoft Office Word</Application>
  <DocSecurity>0</DocSecurity>
  <Lines>527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Ivanka Tuđa</cp:lastModifiedBy>
  <cp:revision>12</cp:revision>
  <cp:lastPrinted>2021-12-28T08:13:00Z</cp:lastPrinted>
  <dcterms:created xsi:type="dcterms:W3CDTF">2022-11-14T11:02:00Z</dcterms:created>
  <dcterms:modified xsi:type="dcterms:W3CDTF">2022-11-15T09:03:00Z</dcterms:modified>
</cp:coreProperties>
</file>